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40" w:rsidRDefault="00222A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2A40" w:rsidRDefault="00222A4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22A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A40" w:rsidRDefault="00222A40">
            <w:pPr>
              <w:pStyle w:val="ConsPlusNormal"/>
            </w:pPr>
            <w:r>
              <w:t>7 мая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2A40" w:rsidRDefault="00222A40">
            <w:pPr>
              <w:pStyle w:val="ConsPlusNormal"/>
              <w:jc w:val="right"/>
            </w:pPr>
            <w:r>
              <w:t>N 204</w:t>
            </w:r>
          </w:p>
        </w:tc>
      </w:tr>
    </w:tbl>
    <w:p w:rsidR="00222A40" w:rsidRDefault="00222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A40" w:rsidRDefault="00222A40">
      <w:pPr>
        <w:pStyle w:val="ConsPlusNormal"/>
        <w:jc w:val="both"/>
      </w:pPr>
    </w:p>
    <w:p w:rsidR="00222A40" w:rsidRDefault="00222A40">
      <w:pPr>
        <w:pStyle w:val="ConsPlusTitle"/>
        <w:jc w:val="center"/>
      </w:pPr>
      <w:r>
        <w:t>УКАЗ</w:t>
      </w:r>
    </w:p>
    <w:p w:rsidR="00222A40" w:rsidRDefault="00222A40">
      <w:pPr>
        <w:pStyle w:val="ConsPlusTitle"/>
        <w:jc w:val="both"/>
      </w:pPr>
    </w:p>
    <w:p w:rsidR="00222A40" w:rsidRDefault="00222A40">
      <w:pPr>
        <w:pStyle w:val="ConsPlusTitle"/>
        <w:jc w:val="center"/>
      </w:pPr>
      <w:r>
        <w:t>ПРЕЗИДЕНТА РОССИЙСКОЙ ФЕДЕРАЦИИ</w:t>
      </w:r>
    </w:p>
    <w:p w:rsidR="00222A40" w:rsidRDefault="00222A40">
      <w:pPr>
        <w:pStyle w:val="ConsPlusTitle"/>
        <w:jc w:val="both"/>
      </w:pPr>
    </w:p>
    <w:p w:rsidR="00222A40" w:rsidRDefault="00222A40">
      <w:pPr>
        <w:pStyle w:val="ConsPlusTitle"/>
        <w:jc w:val="center"/>
      </w:pPr>
      <w:r>
        <w:t>О НАЦИОНАЛЬНЫХ ЦЕЛЯХ И СТРАТЕГИЧЕСКИХ ЗАДАЧАХ</w:t>
      </w:r>
    </w:p>
    <w:p w:rsidR="00222A40" w:rsidRDefault="00222A40">
      <w:pPr>
        <w:pStyle w:val="ConsPlusTitle"/>
        <w:jc w:val="center"/>
      </w:pPr>
      <w:r>
        <w:t>РАЗВИТИЯ РОССИЙСКОЙ ФЕДЕРАЦИИ НА ПЕРИОД ДО 2024 ГОДА</w:t>
      </w:r>
    </w:p>
    <w:p w:rsidR="00222A40" w:rsidRDefault="00222A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22A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A40" w:rsidRDefault="00222A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2A40" w:rsidRDefault="00222A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19.07.2018 N 444)</w:t>
            </w:r>
          </w:p>
        </w:tc>
      </w:tr>
    </w:tbl>
    <w:p w:rsidR="00222A40" w:rsidRDefault="00222A40">
      <w:pPr>
        <w:pStyle w:val="ConsPlusNormal"/>
        <w:jc w:val="both"/>
      </w:pPr>
    </w:p>
    <w:p w:rsidR="00222A40" w:rsidRDefault="00222A40">
      <w:pPr>
        <w:pStyle w:val="ConsPlusNormal"/>
        <w:ind w:firstLine="540"/>
        <w:jc w:val="both"/>
      </w:pPr>
      <w:r>
        <w:t>В целях осуществления прорывного научно-технологического и социально-экономического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 постановляю:</w:t>
      </w:r>
    </w:p>
    <w:p w:rsidR="00222A40" w:rsidRDefault="00222A40">
      <w:pPr>
        <w:pStyle w:val="ConsPlusNormal"/>
        <w:spacing w:before="220"/>
        <w:ind w:firstLine="540"/>
        <w:jc w:val="both"/>
      </w:pPr>
      <w:bookmarkStart w:id="0" w:name="P14"/>
      <w:bookmarkEnd w:id="0"/>
      <w:r>
        <w:t>1. Правительству Российской Федерации обеспечить достижение следующих национальных целей развития Российской Федерации на период до 2024 года: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обеспечение устойчивого естественного роста численности населения Российской Федерации;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повышение ожидаемой продолжительности жизни до 78 лет (к 2030 году - до 80 лет);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в) обеспечение устойчивого роста реальных доходов граждан, а также роста уровня пенсионного обеспечения выше уровня инфляции;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г) снижение в два раза уровня бедности в Российской Федерации;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д) улучшение жилищных условий не менее 5 млн. семей ежегодно;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е) ускорение технологического развития Российской Федерации, увеличение количества организаций, осуществляющих технологические инновации, до 50 процентов от их общего числа;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ж) обеспечение ускоренного внедрения цифровых технологий в экономике и социальной сфере;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з) вхождение Российской Федерации в число пяти крупнейших экономик мира, обеспечение темпов экономического роста выше мировых при сохранении макроэкономической стабильности, в том числе инфляции на уровне, не превышающем 4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и) создание в базовых отраслях экономики, прежде всего в обрабатывающей промышленности и агропромышленном комплексе, высокопроизводительного экспортно ориентированного сектора, развивающегося на основе современных технологий и обеспеченного высококвалифицированными кадрами.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2. Правительству Российской Федерации: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а) утвердить до 1 октября 2018 г. </w:t>
      </w:r>
      <w:hyperlink r:id="rId6" w:history="1">
        <w:r>
          <w:rPr>
            <w:color w:val="0000FF"/>
          </w:rPr>
          <w:t>Основные направления</w:t>
        </w:r>
      </w:hyperlink>
      <w:r>
        <w:t xml:space="preserve"> деятельности Правительства Российской Федерации на период до 2024 года и </w:t>
      </w:r>
      <w:hyperlink r:id="rId7" w:history="1">
        <w:r>
          <w:rPr>
            <w:color w:val="0000FF"/>
          </w:rPr>
          <w:t>прогноз</w:t>
        </w:r>
      </w:hyperlink>
      <w:r>
        <w:t xml:space="preserve"> социально-экономического развития </w:t>
      </w:r>
      <w:r>
        <w:lastRenderedPageBreak/>
        <w:t xml:space="preserve">Российской Федерации на период до 2024 года, предусмотрев механизмы и ресурсное обеспечение достижения национальных целей, определенных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Указа;</w:t>
      </w:r>
    </w:p>
    <w:p w:rsidR="00222A40" w:rsidRDefault="00222A40">
      <w:pPr>
        <w:pStyle w:val="ConsPlusNormal"/>
        <w:spacing w:before="220"/>
        <w:ind w:firstLine="540"/>
        <w:jc w:val="both"/>
      </w:pPr>
      <w:bookmarkStart w:id="1" w:name="P26"/>
      <w:bookmarkEnd w:id="1"/>
      <w:r>
        <w:t xml:space="preserve">б) в соответствии с национальными целями, определенными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Указа, разработать (скорректировать) совместно с органами государственной власти субъектов Российской Федерации и представить до 1 октября 2018 г. для рассмотрения на заседании Совета при Президенте Российской Федерации по стратегическому развитию и национальным проектам национальные проекты (программы) по следующим направлениям:</w:t>
      </w:r>
    </w:p>
    <w:p w:rsidR="00222A40" w:rsidRDefault="00222A40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19.07.2018 N 444)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демография;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здравоохранение;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образование;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жилье и городская среда;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экология;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безопасные и качественные автомобильные дороги;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производительность труда и поддержка занятости;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наука;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цифровая экономика;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культура;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малое и среднее предпринимательство и поддержка индивидуальной предпринимательской инициативы;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международная кооперация и экспорт.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3. Правительству Российской Федерации при разработке национальной программы в сфере демографического развития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ожидаемой продолжительности здоровой жизни до 67 лет;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суммарного коэффициента рождаемости до 1,7;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механизма финансовой поддержки семей при рождении детей;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разработка и реализация программы системной поддержки и повышения качества жизни граждан старшего поколения;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формирование системы мотивации граждан к здоровому образу жизни, включая здоровое питание и отказ от вредных привычек;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4. Правительству Российской Федерации при разработке национального проекта в сфере здравоохранения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снижение показателей смертности населения трудоспособного возраста (до 350 случаев на 100 тыс. населения), смертности от болезней системы кровообращения (до 450 случаев на 100 тыс. населения), смертности от новообразований, в том числе от злокачественных (до 185 случаев на 100 тыс. населения), младенческой смертности (до 4,5 случая на 1 тыс. родившихся детей);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ликвидация кадрового дефицита в медицинских организациях, оказывающих первичную медико-санитарную помощь;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охвата всех граждан профилактическими медицинскими осмотрами не реже одного раза в год;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объема экспорта медицинских услуг не менее чем в четыре раза по сравнению с 2017 годом (до 1 млрд. долларов США в год);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завершение формирования сети медицинских организаций первичного звена здравоохранения с использованием в сфере здравоохранения геоинформационной системы с учетом необходимости строительства врачебных амбулаторий, фельдшерских и фельдшерско-акушерских пунктов в населенных пунктах с численностью населения от 100 человек до 2 тыс. человек, а также с учетом использования мобильных медицинских комплексов в населенных пунктах с численностью населения менее 100 человек;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завершение формирования сети национальных медицинских исследовательских центров;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механизмов взаимодействия медицинских организаций на основе единой государственной информационной системы в сфере здравоохранения;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инновационных медицинских технологий, включая систему ранней диагностики и дистанционный мониторинг состояния здоровья пациентов;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медицинских организаций системы здравоохранения квалифицированными кадрами, включая внедрение системы непрерывного образования медицинских работников, в том числе с использованием дистанционных образовательных технологий;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клинических рекомендаций и протоколов лечения и их использование в целях формирования тарифов на оплату медицинской помощи;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программ борьбы с онкологическими заболеваниями, сердечно-сосудистыми заболеваниями, развития детского здравоохранения, включая создание современной инфраструктуры оказания медицинской помощи детям;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системы защиты прав пациентов;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совершенствование механизма экспорта медицинских услуг.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5. Правительству Российской Федерации при разработке национального проекта в сфере образования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системы профессиональных конкурсов в целях предоставления гражданам возможностей для профессионального и карьерного роста;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условий для развития наставничества, поддержки общественных инициатив и проектов, в том числе в сфере добровольчества (волонтерства);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увеличение не менее чем в два раза количества иностранных граждан, обучающихся в образовательных организациях высшего образования и научных организациях, а также реализация </w:t>
      </w:r>
      <w:r>
        <w:lastRenderedPageBreak/>
        <w:t>комплекса мер по трудоустройству лучших из них в Российской Федерации.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6. Правительству Российской Федерации при разработке национального проекта в сфере жилья и городской среды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доступным жильем семей со средним достатком, в том числе создание возможностей для приобретения (строительства) ими жилья с использованием ипотечного кредита, ставка по которому должна быть менее 8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объема жилищного строительства не менее чем до 120 млн. квадратных метров в год;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кардинальное повышение комфортности городской среды, повышение индекса качества городской среды на 30 процентов, сокращение в соответствии с этим индексом количества городов с неблагоприятной средой в два раза;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до 30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устойчивого сокращения непригодного для проживания жилищного фонда;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совершенствование механизмов финансирования жилищного строительства, в том числе посредством развития рынка ипотечных ценных бумаг и поэтапного перехода от привлечения денежных средств для долевого строительства многоквартирных домов и иных объектов недвижимости к другим формам финансирования жилищного строительства, обеспечивающим защиту прав граждан и снижение рисков для них;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модернизация строительной отрасли и повышение качества индустриального жилищного строительства, в том числе посредством установления ограничений на использование устаревших технологий и стимулирования внедрения передовых технологий в проектировании и строительстве, совершенствование механизмов государственной поддержки строительства стандартного жилья;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снижение административной нагрузки на застройщиков, совершенствование нормативно-правовой базы и порядка регулирования деятельности в сфере жилищного строительства;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эффективного использования земель в целях массового жилищного строительства при условии сохранения и развития зеленого фонда и территорий, на которых располагаются природные объекты, имеющие экологическое, историко-культурное, рекреационное, оздоровительное и иное ценное значение;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механизмов развития комфортной городской среды, комплексного развития городов и других населенных пунктов с учетом индекса качества городской среды;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7. Правительству Российской Федерации при разработке национального проекта в сфере экологии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эффективное обращение с отходами производства и потребления, включая ликвидацию всех выявленных на 1 января 2018 г. несанкционированных свалок в границах городов;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кардинальное снижение уровня загрязнения атмосферного воздуха в крупных промышленных центрах, в том числе уменьшение не менее чем на 20 процентов совокупного объема выбросов загрязняющих веществ в атмосферный воздух в наиболее загрязненных городах;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повышение качества питьевой воды для населения, в том числе для жителей населенных пунктов, не оборудованных современными системами централизованного водоснабжения;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экологическое оздоровление водных объектов, включая реку Волгу, и сохранение уникальных водных систем, включая озера Байкал и Телецкое;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сохранение биологического разнообразия, в том числе посредством создания не менее 24 новых особо охраняемых природных территорий;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комплексной системы обращения с твердыми коммунальными отходами, включая ликвидацию свалок и рекультивацию территорий, на которых они размещены, создание условий для вторичной переработки всех запрещенных к захоронению отходов производства и потребления;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и эффективное функционирование во всех субъектах Российской Федерации системы общественного контроля, направленной на выявление и ликвидацию несанкционированных свалок;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современной инфраструктуры, обеспечивающей безопасное обращение с отходами I и II классов опасности, и ликвидация наиболее опасных объектов накопленного экологического вреда;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реализация комплексных планов мероприятий по снижению выбросов загрязняющих веществ в атмосферный воздух в крупных промышленных центрах, включая города Братск, Красноярск, Липецк, Магнитогорск, Медногорск, Нижний Тагил, Новокузнецк, Норильск, Омск, Челябинск, Череповец и Читу, с учетом сводных расчетов допустимого в этих городах негативного воздействия на окружающую среду;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применение всеми объектами, оказывающими значительное негативное воздействие на окружающую среду, системы экологического регулирования, основанной на использовании наилучших доступных технологий;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повышение качества питьевой воды 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оборонно-промышленного комплекса;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экологическая реабилитация водных объектов, в том числе реализация проекта, направленного на сокращение в три раза доли загрязненных сточных вод, отводимых в реку Волгу, устойчивое функционирование водохозяйственного комплекса Нижней Волги и сохранение экосистемы Волго-Ахтубинской поймы;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сохранение уникальных водных объектов, в том числе реализация проекта по сохранению озера Байкал, а также мероприятий по очистке от мусора берегов и прибрежной акватории озер Байкал, Телецкое, Ладожское, Онежское и рек Волги, Дона, Оби, Енисея, Амура, Урала, Печоры;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сохранение биологического разнообразия, включая увеличение площади особо охраняемых природных территорий на 5 млн. гектаров, реинтродукцию редких видов животных, создание </w:t>
      </w:r>
      <w:r>
        <w:lastRenderedPageBreak/>
        <w:t>инфраструктуры для экологического туризма в национальных парках, а также сохранение лесов, в том числе на основе их воспроизводства на всех участках вырубленных и погибших лесных насаждений.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8. Правительству Российской Федерации при разработке национального проекта по созданию безопасных и качественных автомобильных дорог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доли автомобильных дорог регионального значения, соответствующих нормативным требованиям, в их общей протяженности не менее чем до 50 процентов (относительно их протяженности по состоянию на 31 декабря 2017 г.), а также утверждение органами государственной власти субъектов Российской Федерации таких нормативов исходя из установленных на федеральном уровне требований безопасности автомобильных дорог;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снижение доли автомобильных дорог федерального и регионального значения, работающих в режиме перегрузки, в их общей протяженности на 10 процентов по сравнению с 2017 годом;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снижение количества мест концентрации дорожно-транспортных происшествий (аварийно-опасных участков) на дорожной сети в два раза по сравнению с 2017 годом;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снижение смертности в результате дорожно-транспортных происшествий в 3,5 раза по сравнению с 2017 годом - до уровня, не превышающего четырех человек на 100 тыс. населения (к 2030 году - стремление к нулевому уровню смертности);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доведение в крупнейших городских агломерациях доли автомобильных дорог, соответствующих нормативным требованиям, в их общей протяженности до 85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применение новых механизмов развития и эксплуатации дорожной сети, включая использование инфраструктурной ипотеки, контрактов жизненного цикла, наилучших технологий и материалов;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доведение норматива зачисления налоговых доходов бюджетов субъектов Российской Федерации от акцизов на горюче-смазочные материалы до 100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общедоступной информационной системы контроля за формированием и использованием средств дорожных фондов всех уровней (в 2019 году);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механизмов экономического стимулирования сохранности автомобильных дорог регионального и местного значения;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новых технических требований и стандартов обустройства автомобильных дорог, в том числе на основе цифровых технологий, направленных на устранение мест концентрации дорожно-транспортных происшествий;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усиление ответственности водителей за нарушение правил дорожного движения, а также повышение требований к уровню их профессиональной подготовки.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9. Правительству Российской Федерации при реализации совместно с органами государственной власти субъектов Российской Федерации национальной программы в сфере повышения производительности труда и поддержки занятости обеспечить в 2024 году: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рост производительности труда на средних и крупных предприятиях базовых несырьевых отраслей экономики не ниже 5 процентов в год;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привлечение к участию в реализации указанной национальной программы не менее 10 субъектов Российской Федерации ежегодно;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вовлечение в реализацию указанной национальной программы не менее 10 тыс. средних и крупных предприятий базовых несырьевых отраслей экономики;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стимулирование внедрения передовых управленческих, организационных и технологических решений для повышения производительности труда и модернизации основных фондов, в том числе посредством предоставления налоговых преференций;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сокращение нормативно-правовых и административных ограничений, препятствующих росту производительности труда, а также замещение устаревших и непроизводительных рабочих мест;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системы методической и организационной поддержки повышения производительности труда на предприятиях;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системы подготовки кадров, направленной на обучение основам повышения производительности труда, в том числе посредством использования цифровых технологий и платформенных решений.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10. Правительству Российской Федерации при разработке национального проекта в сфере науки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присутствия Российской Федерации в числе пяти ведущих стран мира, осуществляющих научные исследования и разработки в областях, определяемых приоритетами научно-технологического развития;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привлекательности работы в Российской Федерации для российских и зарубежных ведущих ученых и молодых перспективных исследователей;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опережающее увеличение внутренних затрат на научные исследования и разработки за счет всех источников по сравнению с ростом валового внутреннего продукта страны;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передовой инфраструктуры научных исследований и разработок, инновационной деятельности, включая создание и развитие сети уникальных научных установок класса "мегасайенс";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обновление не менее 50 процентов приборной базы ведущих организаций, выполняющих научные исследования и разработки;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научных центров мирового уровня, включая сеть международных математических центров и центров геномных исследований;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не менее 15 научно-образовательных центров мирового уровня на основе интеграции университетов и научных организаций и их кооперации с организациями, действующими в реальном секторе экономики;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формирование целостной системы подготовки и профессионального роста научных и научно-педагогических кадров, обеспечивающей условия для осуществления молодыми учеными научных исследований и разработок, создания научных лабораторий и конкурентоспособных коллективов.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11. Правительству Российской Федерации при реализации совместно с органами государственной власти субъектов Российской Федерации национальной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обеспечить в 2024 году: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увеличение внутренних затрат на развитие цифровой экономики за счет всех источников (по доле в валовом внутреннем продукте страны) не менее чем в три раза по сравнению с 2017 годом;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использование преимущественно отечественного программного обеспечения государственными органами, органами местного самоуправления и организациями;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системы правового регулирования цифровой экономики, основанного на гибком подходе в каждой сфере, а также внедрение гражданского оборота на базе цифровых технологий;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глобальной конкурентоспособной инфраструктуры передачи, обработки и хранения данных преимущественно на основе отечественных разработок;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сквозных цифровых технологий преимущественно на основе отечественных разработок;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преобразование приоритетных отраслей экономики и социальной сферы, включая здравоохранение, образование, промышленность, сельское хозяйство, строительство, городское хозяйство, транспортную и энергетическую инфраструктуру, финансовые услуги, посредством внедрения цифровых технологий и платформенных решений;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комплексной системы финансирования проектов по разработке и (или) внедрению цифровых технологий и платформенных решений, включающей в себя венчурное финансирование и иные институты развития;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разработка и внедрение национального механизма осуществления согласованной политики государств - членов Евразийского экономического союза при реализации планов в области развития цифровой экономики.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12. Правительству Российской Федерации при разработке национальной программы в сфере культуры обратить особое внимание на необходимость: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а) укрепления российской гражданской идентичности на основе духовно-нравственных и культурных ценностей народов Российской Федерации;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создания (реконструкции) культурно-образовательных и музейных комплексов, включающих в себя концертные залы, театральные, музыкальные, хореографические и другие творческие школы, а также выставочные пространства;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в) обеспечения детских музыкальных, художественных, хореографических школ, училищ и школ искусств необходимыми инструментами, оборудованием и материалами;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г) продвижения талантливой молодежи в сфере музыкального искусства, в том числе посредством создания национального молодежного симфонического оркестра;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д) создания (реконструкции) культурно-досуговых организаций клубного типа на территориях сельских поселений, развития муниципальных библиотек;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е) создания виртуальных концертных залов не менее чем в 500 городах Российской Федерации;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ж) создания условий для показа национальных кинофильмов в кинозалах, расположенных в населенных пунктах с численностью населения до 500 тыс. человек;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з) подготовки кадров для организаций культуры;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и) модернизации региональных и муниципальных театров юного зрителя и кукольных театров путем их реконструкции и капитального ремонта;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к) поддержки добровольческих движений, в том числе в сфере сохранения культурного наследия народов Российской Федерации.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13. Правительству Российской Федерации при реализации совместно с органами государственной власти субъектов Российской Федерации национального проекта в сфере развития малого и среднего предпринимательства и поддержки индивидуальной предпринимательской инициативы обеспечить в 2024 году: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следующего целевого показателя: увеличение численности занятых в сфере малого и среднего предпринимательства, включая индивидуальных предпринимателей, до 25 млн. человек;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</w:t>
      </w:r>
      <w:r>
        <w:lastRenderedPageBreak/>
        <w:t>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несырьевого экспорта не менее чем до 10 процентов;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системы поддержки фермеров и развитие сельской кооперации;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обеспечение благоприятных условий осуществления деятельности самозанятыми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14. Правительству Российской Федерации при разработке национальной программы в сфере развития международной кооперации и экспорта исходить из того, что в 2024 году необходимо обеспечить: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достижение следующих целей и целевых показателей: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в обрабатывающей промышленности, сельском хозяйстве, сфере услуг глобальных конкурентоспособных несырьевых секторов, общая доля экспорта товаров (работ, услуг) которых составит не менее 20 процентов валового внутреннего продукта страны;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достижение объема экспорта (в стоимостном выражении) несырьевых неэнергетических товаров в размере 250 млрд. долларов США в год, в том числе продукции машиностроения - 50 млрд. долларов США в год и продукции агропромышленного комплекса - 45 млрд. долларов США в год, а также объема экспорта оказываемых услуг в размере 100 млрд. долларов США в год;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формирование эффективной системы разделения труда и производственной кооперации в рамках Евразийского экономического союза в целях увеличения объема торговли между государствами - членами Союза не менее чем в полтора раза и обеспечения роста объема накопленных взаимных инвестиций в полтора раза;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решение следующих задач: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ориентация промышленной, аграрной и торговой политики, включая применяемые механизмы государственной поддержки, на достижение международной конкурентоспособности российских товаров (работ, услуг) в целях обеспечения их присутствия на внешних рынках;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сокращение административных процедур и барьеров в сфере международной торговли, включая отмену избыточных требований при лицензировании экспорта и осуществлении валютного контроля, организация (к 2021 году) взаимодействия субъектов международной торговли с контролирующими органами по принципу "одного окна";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завершение создания гибкой линейки финансовых инструментов поддержки экспорта (к 2021 году), включая расширенное предэкспортное, экспортное и акционерное финансирование, лизинг и долгосрочные меры поддержки;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устранение логистических ограничений при экспорте товаров с использованием железнодорожного, автомобильного и морского транспорта, а также строительство (модернизация) пунктов пропуска через государственную границу Российской Федерации;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создание единой системы институтов продвижения экспорта, предусматривающей модернизацию торговых представительств Российской Федерации за рубежом;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завершение формирования в рамках Евразийского экономического союза общих рынков товаров, услуг, капитала и рабочей силы, включая окончательное устранение барьеров, ограничений и отмену изъятий в экономическом сотрудничестве, при одновременном активном использовании механизмов совместной проектной деятельности.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15. Правительству Российской Федерации на основе стратегии пространственного развития Российской Федерации разработать с участием органов государственной власти субъектов Российской Федерации и до 1 октября 2018 г. утвердить комплексный план модернизации и расширения магистральной инфраструктуры, предусматривающий обеспечение в 2024 году: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а) развития транспортных коридоров "Запад - Восток" и "Север - Юг" для перевозки грузов, в том числе за счет: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строительства и модернизации российских участков автомобильных дорог, относящихся к международному транспортному маршруту "Европа - Западный Китай";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увеличения мощностей морских портов Российской Федерации, включая порты Дальневосточного, Северо-Западного, Волго-Каспийского и Азово-Черноморского бассейнов;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развития Северного морского пути и увеличения грузопотока по нему до 80 млн. тонн;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сокращения времени перевозки контейнеров железнодорожным транспортом, в частности с Дальнего Востока до западной границы Российской Федерации до семи дней, и увеличения объема транзитных перевозок контейнеров железнодорожным транспортом в четыре раза;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формирования узловых грузовых мультимодальных транспортно-логистических центров;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увеличения пропускной способности Байкало-Амурской и Транссибирской железнодорожных магистралей в полтора раза, до 180 млн. тонн;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увеличения пропускной способности железнодорожных подходов к морским портам Азово-Черноморского бассейна;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б) повышения уровня экономической связанности территории Российской Федерации посредством расширения и модернизации железнодорожной, авиационной, автодорожной, морской и речной инфраструктуры, в том числе за счет: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поэтапного развития транспортных коммуникаций между административными центрами субъектов Российской Федерации и другими городами - центрами экономического роста, включая ликвидацию инфраструктурных ограничений на имеющих перспективы развития территориях, прилегающих к таким транспортным коммуникациям;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реконструкции инфраструктуры региональных аэропортов и расширения сети межрегиональных регулярных пассажирских авиационных маршрутов, минуя Москву, до 50 процентов от общего количества внутренних регулярных авиационных маршрутов;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создания основы для развития скоростного и высокоскоростного железнодорожного сообщения между крупными городами;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увеличения пропускной способности внутренних водных путей;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в) гарантированного обеспечения доступной электроэнергией, в том числе за счет: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электрификации транспортных коридоров "Запад - Восток" и "Север - Юг", включая Байкало-Амурскую и Транссибирскую железнодорожные магистрали, во взаимосвязи с развитием транспортной инфраструктуры;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lastRenderedPageBreak/>
        <w:t>развития централизованных энергосистем, включая модернизацию генерирующих мощностей тепловых, атомных и гидроэлектростанций в соответствии с потребностями социально-экономического развития;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устойчивого энергоснабжения потребителей на территориях субъектов Российской Федерации, прежде всего Республики Крым, г. Севастополя, Калининградской области, а также субъектов Российской Федерации, входящих в состав Дальневосточного федерального округа;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развития распределенной генерации, в том числе на основе возобновляемых источников энергии, в первую очередь в удаленных и изолированных энергорайонах;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внедрения интеллектуальных систем управления электросетевым хозяйством на базе цифровых технологий.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16. Правительству Российской Федерации: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федерального бюджета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Указа;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 xml:space="preserve"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проектов (программ), названных в </w:t>
      </w:r>
      <w:hyperlink w:anchor="P26" w:history="1">
        <w:r>
          <w:rPr>
            <w:color w:val="0000FF"/>
          </w:rPr>
          <w:t>подпункте "б" пункта 2</w:t>
        </w:r>
      </w:hyperlink>
      <w:r>
        <w:t xml:space="preserve"> настоящего Указа.</w:t>
      </w:r>
    </w:p>
    <w:p w:rsidR="00222A40" w:rsidRDefault="00222A40">
      <w:pPr>
        <w:pStyle w:val="ConsPlusNormal"/>
        <w:spacing w:before="220"/>
        <w:ind w:firstLine="540"/>
        <w:jc w:val="both"/>
      </w:pPr>
      <w:r>
        <w:t>17. Настоящий Указ вступает в силу со дня его официального опубликования.</w:t>
      </w:r>
    </w:p>
    <w:p w:rsidR="00222A40" w:rsidRDefault="00222A40">
      <w:pPr>
        <w:pStyle w:val="ConsPlusNormal"/>
        <w:jc w:val="both"/>
      </w:pPr>
    </w:p>
    <w:p w:rsidR="00222A40" w:rsidRDefault="00222A40">
      <w:pPr>
        <w:pStyle w:val="ConsPlusNormal"/>
        <w:jc w:val="right"/>
      </w:pPr>
      <w:r>
        <w:t>Президент</w:t>
      </w:r>
    </w:p>
    <w:p w:rsidR="00222A40" w:rsidRDefault="00222A40">
      <w:pPr>
        <w:pStyle w:val="ConsPlusNormal"/>
        <w:jc w:val="right"/>
      </w:pPr>
      <w:r>
        <w:t>Российской Федерации</w:t>
      </w:r>
    </w:p>
    <w:p w:rsidR="00222A40" w:rsidRDefault="00222A40">
      <w:pPr>
        <w:pStyle w:val="ConsPlusNormal"/>
        <w:jc w:val="right"/>
      </w:pPr>
      <w:r>
        <w:t>В.ПУТИН</w:t>
      </w:r>
    </w:p>
    <w:p w:rsidR="00222A40" w:rsidRDefault="00222A40">
      <w:pPr>
        <w:pStyle w:val="ConsPlusNormal"/>
      </w:pPr>
      <w:r>
        <w:t>Москва, Кремль</w:t>
      </w:r>
    </w:p>
    <w:p w:rsidR="00222A40" w:rsidRDefault="00222A40">
      <w:pPr>
        <w:pStyle w:val="ConsPlusNormal"/>
        <w:spacing w:before="220"/>
      </w:pPr>
      <w:r>
        <w:t>7 мая 2018 года</w:t>
      </w:r>
    </w:p>
    <w:p w:rsidR="00222A40" w:rsidRDefault="00222A40">
      <w:pPr>
        <w:pStyle w:val="ConsPlusNormal"/>
        <w:spacing w:before="220"/>
      </w:pPr>
      <w:r>
        <w:t>N 204</w:t>
      </w:r>
    </w:p>
    <w:p w:rsidR="00222A40" w:rsidRDefault="00222A40">
      <w:pPr>
        <w:pStyle w:val="ConsPlusNormal"/>
        <w:jc w:val="both"/>
      </w:pPr>
    </w:p>
    <w:p w:rsidR="00222A40" w:rsidRDefault="00222A40">
      <w:pPr>
        <w:pStyle w:val="ConsPlusNormal"/>
        <w:jc w:val="both"/>
      </w:pPr>
    </w:p>
    <w:p w:rsidR="00222A40" w:rsidRDefault="00222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4911" w:rsidRDefault="00E34911">
      <w:bookmarkStart w:id="2" w:name="_GoBack"/>
      <w:bookmarkEnd w:id="2"/>
    </w:p>
    <w:sectPr w:rsidR="00E34911" w:rsidSect="00F2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40"/>
    <w:rsid w:val="00222A40"/>
    <w:rsid w:val="00E3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5467D-EECF-4FC9-A67E-F869E9C5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2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2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21A13AC86B6E30CF26ECFB28E1C4004802439D2DA743FB44C1C37EB3EF685E03C3A165A2EE930REW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B21A13AC86B6E30CF26ECFB28E1C4004802E30D2D5743FB44C1C37EBR3W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21A13AC86B6E30CF26ECFB28E1C4004802139D3D1743FB44C1C37EB3EF685E03C3A165A2EE931REW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BB21A13AC86B6E30CF26ECFB28E1C4004802439D2DA743FB44C1C37EB3EF685E03C3A165A2EE930REW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BB21A13AC86B6E30CF26ECFB28E1C4005822736D1D5743FB44C1C37EB3EF685E03C3A165A2EE931RE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5223</Words>
  <Characters>29773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Топоров Дмитрий</dc:creator>
  <cp:keywords/>
  <dc:description/>
  <cp:lastModifiedBy>Топоров Дмитрий</cp:lastModifiedBy>
  <cp:revision>1</cp:revision>
  <dcterms:created xsi:type="dcterms:W3CDTF">2018-10-17T09:22:00Z</dcterms:created>
  <dcterms:modified xsi:type="dcterms:W3CDTF">2018-10-17T09:23:00Z</dcterms:modified>
</cp:coreProperties>
</file>