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CellMar>
          <w:left w:w="0" w:type="dxa"/>
          <w:right w:w="0" w:type="dxa"/>
        </w:tblCellMar>
        <w:tblLook w:val="00A0"/>
      </w:tblPr>
      <w:tblGrid>
        <w:gridCol w:w="199"/>
        <w:gridCol w:w="3230"/>
        <w:gridCol w:w="780"/>
        <w:gridCol w:w="76"/>
        <w:gridCol w:w="309"/>
        <w:gridCol w:w="487"/>
        <w:gridCol w:w="20"/>
        <w:gridCol w:w="282"/>
        <w:gridCol w:w="677"/>
        <w:gridCol w:w="820"/>
        <w:gridCol w:w="745"/>
        <w:gridCol w:w="125"/>
        <w:gridCol w:w="790"/>
        <w:gridCol w:w="916"/>
        <w:gridCol w:w="916"/>
        <w:gridCol w:w="395"/>
        <w:gridCol w:w="6"/>
      </w:tblGrid>
      <w:tr w:rsidR="00EE2C97" w:rsidRPr="00731E39">
        <w:trPr>
          <w:gridAfter w:val="1"/>
          <w:wAfter w:w="6" w:type="dxa"/>
          <w:trHeight w:val="60"/>
        </w:trPr>
        <w:tc>
          <w:tcPr>
            <w:tcW w:w="210"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3321"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801"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394" w:type="dxa"/>
            <w:gridSpan w:val="2"/>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499"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13"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289"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1562" w:type="dxa"/>
            <w:gridSpan w:val="2"/>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774"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945" w:type="dxa"/>
            <w:gridSpan w:val="2"/>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945"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945"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407" w:type="dxa"/>
            <w:shd w:val="clear" w:color="FFFFFF" w:fill="auto"/>
            <w:vAlign w:val="bottom"/>
          </w:tcPr>
          <w:p w:rsidR="00EE2C97" w:rsidRPr="00731E39" w:rsidRDefault="00EE2C97" w:rsidP="00731E39">
            <w:pPr>
              <w:spacing w:after="0" w:line="240" w:lineRule="auto"/>
              <w:rPr>
                <w:rFonts w:ascii="Arial" w:hAnsi="Arial" w:cs="Arial"/>
                <w:sz w:val="16"/>
                <w:szCs w:val="16"/>
              </w:rPr>
            </w:pPr>
          </w:p>
        </w:tc>
      </w:tr>
      <w:tr w:rsidR="00EE2C97" w:rsidRPr="00731E39">
        <w:trPr>
          <w:gridAfter w:val="1"/>
          <w:wAfter w:w="6" w:type="dxa"/>
          <w:trHeight w:val="60"/>
        </w:trPr>
        <w:tc>
          <w:tcPr>
            <w:tcW w:w="210"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4516" w:type="dxa"/>
            <w:gridSpan w:val="4"/>
            <w:shd w:val="clear" w:color="FFFFFF" w:fill="auto"/>
            <w:vAlign w:val="bottom"/>
          </w:tcPr>
          <w:p w:rsidR="00EE2C97" w:rsidRPr="00731E39" w:rsidRDefault="00EE2C97" w:rsidP="00731E39">
            <w:pPr>
              <w:spacing w:after="0" w:line="240" w:lineRule="auto"/>
              <w:rPr>
                <w:rFonts w:ascii="Arial" w:hAnsi="Arial" w:cs="Arial"/>
                <w:b/>
                <w:bCs/>
                <w:sz w:val="14"/>
                <w:szCs w:val="14"/>
              </w:rPr>
            </w:pPr>
          </w:p>
        </w:tc>
        <w:tc>
          <w:tcPr>
            <w:tcW w:w="499" w:type="dxa"/>
            <w:shd w:val="clear" w:color="FFFFFF" w:fill="auto"/>
            <w:vAlign w:val="bottom"/>
          </w:tcPr>
          <w:p w:rsidR="00EE2C97" w:rsidRPr="00731E39" w:rsidRDefault="00EE2C97" w:rsidP="00731E39">
            <w:pPr>
              <w:spacing w:after="0" w:line="240" w:lineRule="auto"/>
              <w:jc w:val="right"/>
              <w:rPr>
                <w:rFonts w:ascii="Arial" w:hAnsi="Arial" w:cs="Arial"/>
                <w:b/>
                <w:bCs/>
                <w:sz w:val="14"/>
                <w:szCs w:val="14"/>
              </w:rPr>
            </w:pPr>
          </w:p>
        </w:tc>
        <w:tc>
          <w:tcPr>
            <w:tcW w:w="13" w:type="dxa"/>
            <w:shd w:val="clear" w:color="FFFFFF" w:fill="auto"/>
            <w:vAlign w:val="bottom"/>
          </w:tcPr>
          <w:p w:rsidR="00EE2C97" w:rsidRPr="00731E39" w:rsidRDefault="00EE2C97" w:rsidP="00731E39">
            <w:pPr>
              <w:spacing w:after="0" w:line="240" w:lineRule="auto"/>
              <w:jc w:val="right"/>
              <w:rPr>
                <w:rFonts w:ascii="Arial" w:hAnsi="Arial" w:cs="Arial"/>
                <w:b/>
                <w:bCs/>
                <w:sz w:val="14"/>
                <w:szCs w:val="14"/>
              </w:rPr>
            </w:pPr>
          </w:p>
        </w:tc>
        <w:tc>
          <w:tcPr>
            <w:tcW w:w="1851" w:type="dxa"/>
            <w:gridSpan w:val="3"/>
            <w:vMerge w:val="restart"/>
            <w:shd w:val="clear" w:color="FFFFFF" w:fill="auto"/>
            <w:vAlign w:val="bottom"/>
          </w:tcPr>
          <w:p w:rsidR="00EE2C97" w:rsidRPr="00731E39" w:rsidRDefault="00EE2C97" w:rsidP="00731E39">
            <w:pPr>
              <w:spacing w:after="0" w:line="240" w:lineRule="auto"/>
              <w:rPr>
                <w:rFonts w:ascii="Arial" w:hAnsi="Arial" w:cs="Arial"/>
                <w:b/>
                <w:bCs/>
                <w:sz w:val="14"/>
                <w:szCs w:val="14"/>
              </w:rPr>
            </w:pPr>
          </w:p>
        </w:tc>
        <w:tc>
          <w:tcPr>
            <w:tcW w:w="4016" w:type="dxa"/>
            <w:gridSpan w:val="6"/>
            <w:shd w:val="clear" w:color="FFFFFF" w:fill="auto"/>
            <w:vAlign w:val="bottom"/>
          </w:tcPr>
          <w:p w:rsidR="00EE2C97" w:rsidRPr="00731E39" w:rsidRDefault="00EE2C97" w:rsidP="00731E39">
            <w:pPr>
              <w:spacing w:after="0" w:line="240" w:lineRule="auto"/>
              <w:jc w:val="right"/>
              <w:rPr>
                <w:rFonts w:ascii="Times New Roman" w:hAnsi="Times New Roman" w:cs="Times New Roman"/>
                <w:sz w:val="18"/>
                <w:szCs w:val="18"/>
              </w:rPr>
            </w:pPr>
            <w:r w:rsidRPr="00731E39">
              <w:rPr>
                <w:rFonts w:ascii="Times New Roman" w:hAnsi="Times New Roman" w:cs="Times New Roman"/>
                <w:sz w:val="18"/>
                <w:szCs w:val="18"/>
              </w:rPr>
              <w:t>Приложение № 8</w:t>
            </w:r>
          </w:p>
          <w:p w:rsidR="00EE2C97" w:rsidRPr="00731E39" w:rsidRDefault="00EE2C97" w:rsidP="00731E39">
            <w:pPr>
              <w:spacing w:after="0" w:line="240" w:lineRule="auto"/>
              <w:jc w:val="right"/>
              <w:rPr>
                <w:rFonts w:ascii="Times New Roman" w:hAnsi="Times New Roman" w:cs="Times New Roman"/>
                <w:sz w:val="18"/>
                <w:szCs w:val="18"/>
              </w:rPr>
            </w:pPr>
            <w:r w:rsidRPr="00731E39">
              <w:rPr>
                <w:rFonts w:ascii="Times New Roman" w:hAnsi="Times New Roman" w:cs="Times New Roman"/>
                <w:sz w:val="18"/>
                <w:szCs w:val="18"/>
              </w:rPr>
              <w:t>к Решению Совета Кондопожского муниципального района</w:t>
            </w:r>
          </w:p>
          <w:p w:rsidR="00EE2C97" w:rsidRPr="00731E39" w:rsidRDefault="00EE2C97" w:rsidP="00731E39">
            <w:pPr>
              <w:spacing w:after="0" w:line="240" w:lineRule="auto"/>
              <w:jc w:val="right"/>
              <w:rPr>
                <w:rFonts w:ascii="Times New Roman" w:hAnsi="Times New Roman" w:cs="Times New Roman"/>
                <w:sz w:val="18"/>
                <w:szCs w:val="18"/>
              </w:rPr>
            </w:pPr>
            <w:r w:rsidRPr="00731E39">
              <w:rPr>
                <w:rFonts w:ascii="Times New Roman" w:hAnsi="Times New Roman" w:cs="Times New Roman"/>
                <w:sz w:val="18"/>
                <w:szCs w:val="18"/>
              </w:rPr>
              <w:t>«О бюджете Кондопожского муниципального района на 2020 год и на плановый период 2021 и 2022 годов»</w:t>
            </w:r>
          </w:p>
          <w:p w:rsidR="00EE2C97" w:rsidRPr="00731E39" w:rsidRDefault="00EE2C97" w:rsidP="00731E39">
            <w:pPr>
              <w:spacing w:after="0" w:line="240" w:lineRule="auto"/>
              <w:jc w:val="right"/>
              <w:rPr>
                <w:rFonts w:ascii="Times New Roman" w:hAnsi="Times New Roman" w:cs="Times New Roman"/>
                <w:sz w:val="18"/>
                <w:szCs w:val="18"/>
              </w:rPr>
            </w:pPr>
            <w:r w:rsidRPr="00731E39">
              <w:rPr>
                <w:rFonts w:ascii="Times New Roman" w:hAnsi="Times New Roman" w:cs="Times New Roman"/>
                <w:sz w:val="18"/>
                <w:szCs w:val="18"/>
              </w:rPr>
              <w:t>(в редакции Решения Совета Кондопожского муниципального района от 19 марта 2020 года №</w:t>
            </w:r>
            <w:r>
              <w:rPr>
                <w:rFonts w:ascii="Times New Roman" w:hAnsi="Times New Roman" w:cs="Times New Roman"/>
                <w:sz w:val="18"/>
                <w:szCs w:val="18"/>
              </w:rPr>
              <w:t>5</w:t>
            </w:r>
          </w:p>
          <w:p w:rsidR="00EE2C97" w:rsidRPr="00731E39" w:rsidRDefault="00EE2C97" w:rsidP="00731E39">
            <w:pPr>
              <w:spacing w:after="0" w:line="240" w:lineRule="auto"/>
              <w:jc w:val="right"/>
              <w:rPr>
                <w:rFonts w:ascii="Times New Roman" w:hAnsi="Times New Roman" w:cs="Times New Roman"/>
                <w:sz w:val="18"/>
                <w:szCs w:val="18"/>
              </w:rPr>
            </w:pPr>
            <w:r w:rsidRPr="00731E39">
              <w:rPr>
                <w:rFonts w:ascii="Times New Roman" w:hAnsi="Times New Roman" w:cs="Times New Roman"/>
                <w:sz w:val="18"/>
                <w:szCs w:val="18"/>
              </w:rPr>
              <w:t>«О внесении изменений в Решение Совета Кондопожского муниципального района «О бюджете Кондопожского муниципального района на 2020 год и</w:t>
            </w:r>
          </w:p>
          <w:p w:rsidR="00EE2C97" w:rsidRPr="00731E39" w:rsidRDefault="00EE2C97" w:rsidP="00731E39">
            <w:pPr>
              <w:spacing w:after="0" w:line="240" w:lineRule="auto"/>
              <w:jc w:val="right"/>
              <w:rPr>
                <w:rFonts w:ascii="Arial" w:hAnsi="Arial" w:cs="Arial"/>
                <w:sz w:val="14"/>
                <w:szCs w:val="14"/>
              </w:rPr>
            </w:pPr>
            <w:r w:rsidRPr="00731E39">
              <w:rPr>
                <w:rFonts w:ascii="Times New Roman" w:hAnsi="Times New Roman" w:cs="Times New Roman"/>
                <w:sz w:val="18"/>
                <w:szCs w:val="18"/>
              </w:rPr>
              <w:t>на плановый период 2021 и 2022 годов»)</w:t>
            </w:r>
          </w:p>
        </w:tc>
      </w:tr>
      <w:tr w:rsidR="00EE2C97" w:rsidRPr="00731E39">
        <w:trPr>
          <w:gridAfter w:val="1"/>
          <w:wAfter w:w="6" w:type="dxa"/>
          <w:trHeight w:val="60"/>
        </w:trPr>
        <w:tc>
          <w:tcPr>
            <w:tcW w:w="210"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4516" w:type="dxa"/>
            <w:gridSpan w:val="4"/>
            <w:shd w:val="clear" w:color="FFFFFF" w:fill="auto"/>
          </w:tcPr>
          <w:p w:rsidR="00EE2C97" w:rsidRPr="00731E39" w:rsidRDefault="00EE2C97" w:rsidP="00731E39">
            <w:pPr>
              <w:spacing w:after="0" w:line="240" w:lineRule="auto"/>
              <w:rPr>
                <w:rFonts w:ascii="Arial" w:hAnsi="Arial" w:cs="Arial"/>
                <w:sz w:val="12"/>
                <w:szCs w:val="12"/>
              </w:rPr>
            </w:pPr>
          </w:p>
        </w:tc>
        <w:tc>
          <w:tcPr>
            <w:tcW w:w="499" w:type="dxa"/>
            <w:shd w:val="clear" w:color="FFFFFF" w:fill="auto"/>
            <w:vAlign w:val="bottom"/>
          </w:tcPr>
          <w:p w:rsidR="00EE2C97" w:rsidRPr="00731E39" w:rsidRDefault="00EE2C97" w:rsidP="00731E39">
            <w:pPr>
              <w:spacing w:after="0" w:line="240" w:lineRule="auto"/>
              <w:jc w:val="right"/>
              <w:rPr>
                <w:rFonts w:ascii="Arial" w:hAnsi="Arial" w:cs="Arial"/>
                <w:b/>
                <w:bCs/>
                <w:sz w:val="14"/>
                <w:szCs w:val="14"/>
              </w:rPr>
            </w:pPr>
          </w:p>
        </w:tc>
        <w:tc>
          <w:tcPr>
            <w:tcW w:w="13" w:type="dxa"/>
            <w:shd w:val="clear" w:color="FFFFFF" w:fill="auto"/>
            <w:vAlign w:val="bottom"/>
          </w:tcPr>
          <w:p w:rsidR="00EE2C97" w:rsidRPr="00731E39" w:rsidRDefault="00EE2C97" w:rsidP="00731E39">
            <w:pPr>
              <w:spacing w:after="0" w:line="240" w:lineRule="auto"/>
              <w:jc w:val="right"/>
              <w:rPr>
                <w:rFonts w:ascii="Arial" w:hAnsi="Arial" w:cs="Arial"/>
                <w:b/>
                <w:bCs/>
                <w:sz w:val="14"/>
                <w:szCs w:val="14"/>
              </w:rPr>
            </w:pPr>
          </w:p>
        </w:tc>
        <w:tc>
          <w:tcPr>
            <w:tcW w:w="1851" w:type="dxa"/>
            <w:gridSpan w:val="3"/>
            <w:vMerge/>
            <w:shd w:val="clear" w:color="FFFFFF" w:fill="auto"/>
            <w:vAlign w:val="bottom"/>
          </w:tcPr>
          <w:p w:rsidR="00EE2C97" w:rsidRPr="00731E39" w:rsidRDefault="00EE2C97" w:rsidP="00731E39">
            <w:pPr>
              <w:spacing w:after="0" w:line="240" w:lineRule="auto"/>
              <w:rPr>
                <w:rFonts w:ascii="Arial" w:hAnsi="Arial" w:cs="Arial"/>
                <w:b/>
                <w:bCs/>
                <w:sz w:val="14"/>
                <w:szCs w:val="14"/>
              </w:rPr>
            </w:pPr>
          </w:p>
        </w:tc>
        <w:tc>
          <w:tcPr>
            <w:tcW w:w="774" w:type="dxa"/>
            <w:shd w:val="clear" w:color="FFFFFF" w:fill="auto"/>
            <w:vAlign w:val="bottom"/>
          </w:tcPr>
          <w:p w:rsidR="00EE2C97" w:rsidRPr="00731E39" w:rsidRDefault="00EE2C97" w:rsidP="00731E39">
            <w:pPr>
              <w:spacing w:after="0" w:line="240" w:lineRule="auto"/>
              <w:rPr>
                <w:rFonts w:ascii="Arial" w:hAnsi="Arial" w:cs="Arial"/>
                <w:b/>
                <w:bCs/>
                <w:sz w:val="14"/>
                <w:szCs w:val="14"/>
              </w:rPr>
            </w:pPr>
          </w:p>
        </w:tc>
        <w:tc>
          <w:tcPr>
            <w:tcW w:w="945" w:type="dxa"/>
            <w:gridSpan w:val="2"/>
            <w:shd w:val="clear" w:color="FFFFFF" w:fill="auto"/>
            <w:vAlign w:val="bottom"/>
          </w:tcPr>
          <w:p w:rsidR="00EE2C97" w:rsidRPr="00731E39" w:rsidRDefault="00EE2C97" w:rsidP="00731E39">
            <w:pPr>
              <w:spacing w:after="0" w:line="240" w:lineRule="auto"/>
              <w:rPr>
                <w:rFonts w:ascii="Arial" w:hAnsi="Arial" w:cs="Arial"/>
                <w:b/>
                <w:bCs/>
                <w:sz w:val="14"/>
                <w:szCs w:val="14"/>
              </w:rPr>
            </w:pPr>
          </w:p>
        </w:tc>
        <w:tc>
          <w:tcPr>
            <w:tcW w:w="945"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945"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407" w:type="dxa"/>
            <w:shd w:val="clear" w:color="FFFFFF" w:fill="auto"/>
            <w:vAlign w:val="bottom"/>
          </w:tcPr>
          <w:p w:rsidR="00EE2C97" w:rsidRPr="00731E39" w:rsidRDefault="00EE2C97" w:rsidP="00731E39">
            <w:pPr>
              <w:spacing w:after="0" w:line="240" w:lineRule="auto"/>
              <w:rPr>
                <w:rFonts w:ascii="Arial" w:hAnsi="Arial" w:cs="Arial"/>
                <w:sz w:val="16"/>
                <w:szCs w:val="16"/>
              </w:rPr>
            </w:pPr>
          </w:p>
        </w:tc>
      </w:tr>
      <w:tr w:rsidR="00EE2C97" w:rsidRPr="00731E39">
        <w:trPr>
          <w:gridAfter w:val="1"/>
          <w:wAfter w:w="6" w:type="dxa"/>
          <w:trHeight w:val="60"/>
        </w:trPr>
        <w:tc>
          <w:tcPr>
            <w:tcW w:w="210"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10895" w:type="dxa"/>
            <w:gridSpan w:val="15"/>
            <w:vMerge w:val="restart"/>
            <w:shd w:val="clear" w:color="FFFFFF" w:fill="auto"/>
            <w:vAlign w:val="bottom"/>
          </w:tcPr>
          <w:p w:rsidR="00EE2C97" w:rsidRPr="00731E39" w:rsidRDefault="00EE2C97" w:rsidP="00731E39">
            <w:pPr>
              <w:spacing w:after="0" w:line="240" w:lineRule="auto"/>
              <w:jc w:val="center"/>
              <w:rPr>
                <w:rFonts w:ascii="Arial" w:hAnsi="Arial" w:cs="Arial"/>
                <w:b/>
                <w:bCs/>
                <w:sz w:val="18"/>
                <w:szCs w:val="18"/>
              </w:rPr>
            </w:pPr>
            <w:r w:rsidRPr="00731E39">
              <w:rPr>
                <w:rFonts w:ascii="Arial" w:hAnsi="Arial" w:cs="Arial"/>
                <w:b/>
                <w:bCs/>
                <w:sz w:val="18"/>
                <w:szCs w:val="18"/>
              </w:rPr>
              <w:t>Распределение бюджетных ассигнований на 2020 год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Бюджет Кондопожского муниципального района</w:t>
            </w:r>
          </w:p>
        </w:tc>
      </w:tr>
      <w:tr w:rsidR="00EE2C97" w:rsidRPr="00731E39">
        <w:trPr>
          <w:gridAfter w:val="1"/>
          <w:wAfter w:w="6" w:type="dxa"/>
          <w:trHeight w:val="60"/>
        </w:trPr>
        <w:tc>
          <w:tcPr>
            <w:tcW w:w="210"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10895" w:type="dxa"/>
            <w:gridSpan w:val="15"/>
            <w:vMerge/>
            <w:shd w:val="clear" w:color="FFFFFF" w:fill="auto"/>
            <w:vAlign w:val="bottom"/>
          </w:tcPr>
          <w:p w:rsidR="00EE2C97" w:rsidRPr="00731E39" w:rsidRDefault="00EE2C97" w:rsidP="00731E39">
            <w:pPr>
              <w:spacing w:after="0" w:line="240" w:lineRule="auto"/>
              <w:jc w:val="center"/>
              <w:rPr>
                <w:rFonts w:ascii="Arial" w:hAnsi="Arial" w:cs="Arial"/>
                <w:b/>
                <w:bCs/>
                <w:sz w:val="18"/>
                <w:szCs w:val="18"/>
              </w:rPr>
            </w:pPr>
          </w:p>
        </w:tc>
      </w:tr>
      <w:tr w:rsidR="00EE2C97" w:rsidRPr="00731E39">
        <w:trPr>
          <w:gridAfter w:val="1"/>
          <w:wAfter w:w="6" w:type="dxa"/>
          <w:trHeight w:val="1209"/>
        </w:trPr>
        <w:tc>
          <w:tcPr>
            <w:tcW w:w="210"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3321"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801"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394" w:type="dxa"/>
            <w:gridSpan w:val="2"/>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499"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13"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289"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1562" w:type="dxa"/>
            <w:gridSpan w:val="2"/>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774"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945" w:type="dxa"/>
            <w:gridSpan w:val="2"/>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945"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945" w:type="dxa"/>
            <w:shd w:val="clear" w:color="FFFFFF" w:fill="auto"/>
            <w:vAlign w:val="bottom"/>
          </w:tcPr>
          <w:p w:rsidR="00EE2C97" w:rsidRPr="00731E39" w:rsidRDefault="00EE2C97" w:rsidP="00731E39">
            <w:pPr>
              <w:spacing w:after="0" w:line="240" w:lineRule="auto"/>
              <w:rPr>
                <w:rFonts w:ascii="Arial" w:hAnsi="Arial" w:cs="Arial"/>
                <w:sz w:val="16"/>
                <w:szCs w:val="16"/>
              </w:rPr>
            </w:pPr>
          </w:p>
        </w:tc>
        <w:tc>
          <w:tcPr>
            <w:tcW w:w="407" w:type="dxa"/>
            <w:shd w:val="clear" w:color="FFFFFF" w:fill="auto"/>
            <w:vAlign w:val="bottom"/>
          </w:tcPr>
          <w:p w:rsidR="00EE2C97" w:rsidRPr="00731E39" w:rsidRDefault="00EE2C97" w:rsidP="00731E39">
            <w:pPr>
              <w:spacing w:after="0" w:line="240" w:lineRule="auto"/>
              <w:rPr>
                <w:rFonts w:ascii="Arial" w:hAnsi="Arial" w:cs="Arial"/>
                <w:sz w:val="16"/>
                <w:szCs w:val="16"/>
              </w:rPr>
            </w:pPr>
          </w:p>
        </w:tc>
      </w:tr>
      <w:tr w:rsidR="00EE2C97" w:rsidRPr="00731E39">
        <w:trPr>
          <w:trHeight w:val="1845"/>
          <w:tblHeader/>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EE2C97" w:rsidRPr="00731E39" w:rsidRDefault="00EE2C97" w:rsidP="00731E39">
            <w:pPr>
              <w:wordWrap w:val="0"/>
              <w:spacing w:after="0" w:line="240" w:lineRule="auto"/>
              <w:jc w:val="center"/>
              <w:rPr>
                <w:rFonts w:ascii="Times New Roman" w:hAnsi="Times New Roman" w:cs="Times New Roman"/>
                <w:b/>
                <w:bCs/>
                <w:sz w:val="20"/>
                <w:szCs w:val="20"/>
              </w:rPr>
            </w:pPr>
            <w:r w:rsidRPr="00731E39">
              <w:rPr>
                <w:rFonts w:ascii="Times New Roman" w:hAnsi="Times New Roman" w:cs="Times New Roman"/>
                <w:b/>
                <w:bCs/>
                <w:sz w:val="20"/>
                <w:szCs w:val="20"/>
              </w:rPr>
              <w:t>Наименование</w:t>
            </w:r>
          </w:p>
        </w:tc>
        <w:tc>
          <w:tcPr>
            <w:tcW w:w="1811" w:type="dxa"/>
            <w:gridSpan w:val="5"/>
            <w:vMerge w:val="restart"/>
            <w:tcBorders>
              <w:top w:val="single" w:sz="4" w:space="0" w:color="auto"/>
              <w:bottom w:val="single" w:sz="4" w:space="0" w:color="auto"/>
              <w:right w:val="single" w:sz="4" w:space="0" w:color="auto"/>
            </w:tcBorders>
            <w:shd w:val="clear" w:color="FFFFFF" w:fill="auto"/>
            <w:textDirection w:val="btLr"/>
            <w:vAlign w:val="center"/>
          </w:tcPr>
          <w:p w:rsidR="00EE2C97" w:rsidRPr="00731E39" w:rsidRDefault="00EE2C97" w:rsidP="00731E39">
            <w:pPr>
              <w:spacing w:after="0" w:line="240" w:lineRule="auto"/>
              <w:jc w:val="center"/>
              <w:rPr>
                <w:rFonts w:ascii="Times New Roman" w:hAnsi="Times New Roman" w:cs="Times New Roman"/>
                <w:b/>
                <w:bCs/>
                <w:sz w:val="20"/>
                <w:szCs w:val="20"/>
              </w:rPr>
            </w:pPr>
            <w:r w:rsidRPr="00731E39">
              <w:rPr>
                <w:rFonts w:ascii="Times New Roman" w:hAnsi="Times New Roman" w:cs="Times New Roman"/>
                <w:b/>
                <w:bCs/>
                <w:sz w:val="20"/>
                <w:szCs w:val="20"/>
              </w:rPr>
              <w:t>Целевой статьи</w:t>
            </w:r>
          </w:p>
        </w:tc>
        <w:tc>
          <w:tcPr>
            <w:tcW w:w="1772" w:type="dxa"/>
            <w:gridSpan w:val="3"/>
            <w:vMerge w:val="restart"/>
            <w:tcBorders>
              <w:top w:val="single" w:sz="4" w:space="0" w:color="auto"/>
              <w:bottom w:val="single" w:sz="4" w:space="0" w:color="auto"/>
              <w:right w:val="single" w:sz="4" w:space="0" w:color="auto"/>
            </w:tcBorders>
            <w:shd w:val="clear" w:color="FFFFFF" w:fill="auto"/>
            <w:textDirection w:val="btLr"/>
            <w:vAlign w:val="center"/>
          </w:tcPr>
          <w:p w:rsidR="00EE2C97" w:rsidRPr="00731E39" w:rsidRDefault="00EE2C97" w:rsidP="00731E39">
            <w:pPr>
              <w:spacing w:after="0" w:line="240" w:lineRule="auto"/>
              <w:jc w:val="center"/>
              <w:rPr>
                <w:rFonts w:ascii="Times New Roman" w:hAnsi="Times New Roman" w:cs="Times New Roman"/>
                <w:b/>
                <w:bCs/>
                <w:sz w:val="20"/>
                <w:szCs w:val="20"/>
              </w:rPr>
            </w:pPr>
            <w:r w:rsidRPr="00731E39">
              <w:rPr>
                <w:rFonts w:ascii="Times New Roman" w:hAnsi="Times New Roman" w:cs="Times New Roman"/>
                <w:b/>
                <w:bCs/>
                <w:sz w:val="20"/>
                <w:szCs w:val="20"/>
              </w:rPr>
              <w:t>Вида расходов (группа, подгруппа)</w:t>
            </w:r>
          </w:p>
        </w:tc>
        <w:tc>
          <w:tcPr>
            <w:tcW w:w="3084" w:type="dxa"/>
            <w:gridSpan w:val="5"/>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EE2C97" w:rsidRPr="00731E39" w:rsidRDefault="00EE2C97" w:rsidP="00731E39">
            <w:pPr>
              <w:spacing w:after="0" w:line="240" w:lineRule="auto"/>
              <w:jc w:val="center"/>
              <w:rPr>
                <w:rFonts w:ascii="Times New Roman" w:hAnsi="Times New Roman" w:cs="Times New Roman"/>
                <w:b/>
                <w:bCs/>
                <w:sz w:val="20"/>
                <w:szCs w:val="20"/>
              </w:rPr>
            </w:pPr>
            <w:r w:rsidRPr="00731E39">
              <w:rPr>
                <w:rFonts w:ascii="Times New Roman" w:hAnsi="Times New Roman" w:cs="Times New Roman"/>
                <w:b/>
                <w:bCs/>
                <w:sz w:val="20"/>
                <w:szCs w:val="20"/>
              </w:rPr>
              <w:t>Бюджетные ассигнования сумма на год (рублей</w:t>
            </w:r>
            <w:bookmarkStart w:id="0" w:name="_GoBack"/>
            <w:bookmarkEnd w:id="0"/>
            <w:r w:rsidRPr="00731E39">
              <w:rPr>
                <w:rFonts w:ascii="Times New Roman" w:hAnsi="Times New Roman" w:cs="Times New Roman"/>
                <w:b/>
                <w:bCs/>
                <w:sz w:val="20"/>
                <w:szCs w:val="20"/>
              </w:rPr>
              <w:t>)</w:t>
            </w:r>
          </w:p>
        </w:tc>
      </w:tr>
      <w:tr w:rsidR="00EE2C97" w:rsidRPr="00731E39">
        <w:trPr>
          <w:trHeight w:val="68"/>
          <w:tblHeader/>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vMerge/>
            <w:tcBorders>
              <w:top w:val="single" w:sz="4" w:space="0" w:color="auto"/>
              <w:left w:val="single" w:sz="4" w:space="0" w:color="auto"/>
              <w:bottom w:val="single" w:sz="4" w:space="0" w:color="auto"/>
              <w:right w:val="single" w:sz="4" w:space="0" w:color="auto"/>
            </w:tcBorders>
            <w:shd w:val="clear" w:color="FFFFFF" w:fill="auto"/>
            <w:vAlign w:val="center"/>
          </w:tcPr>
          <w:p w:rsidR="00EE2C97" w:rsidRPr="00731E39" w:rsidRDefault="00EE2C97" w:rsidP="00731E39">
            <w:pPr>
              <w:wordWrap w:val="0"/>
              <w:spacing w:after="0" w:line="240" w:lineRule="auto"/>
              <w:jc w:val="center"/>
              <w:rPr>
                <w:rFonts w:ascii="Times New Roman" w:hAnsi="Times New Roman" w:cs="Times New Roman"/>
                <w:b/>
                <w:bCs/>
                <w:sz w:val="20"/>
                <w:szCs w:val="20"/>
              </w:rPr>
            </w:pPr>
          </w:p>
        </w:tc>
        <w:tc>
          <w:tcPr>
            <w:tcW w:w="1811" w:type="dxa"/>
            <w:gridSpan w:val="5"/>
            <w:vMerge/>
            <w:tcBorders>
              <w:top w:val="single" w:sz="4" w:space="0" w:color="auto"/>
              <w:bottom w:val="single" w:sz="4" w:space="0" w:color="auto"/>
              <w:right w:val="single" w:sz="4" w:space="0" w:color="auto"/>
            </w:tcBorders>
            <w:shd w:val="clear" w:color="FFFFFF" w:fill="auto"/>
            <w:textDirection w:val="btLr"/>
            <w:vAlign w:val="center"/>
          </w:tcPr>
          <w:p w:rsidR="00EE2C97" w:rsidRPr="00731E39" w:rsidRDefault="00EE2C97" w:rsidP="00731E39">
            <w:pPr>
              <w:spacing w:after="0" w:line="240" w:lineRule="auto"/>
              <w:jc w:val="center"/>
              <w:rPr>
                <w:rFonts w:ascii="Times New Roman" w:hAnsi="Times New Roman" w:cs="Times New Roman"/>
                <w:b/>
                <w:bCs/>
                <w:sz w:val="20"/>
                <w:szCs w:val="20"/>
              </w:rPr>
            </w:pPr>
          </w:p>
        </w:tc>
        <w:tc>
          <w:tcPr>
            <w:tcW w:w="1772" w:type="dxa"/>
            <w:gridSpan w:val="3"/>
            <w:vMerge/>
            <w:tcBorders>
              <w:top w:val="single" w:sz="4" w:space="0" w:color="auto"/>
              <w:bottom w:val="single" w:sz="4" w:space="0" w:color="auto"/>
              <w:right w:val="single" w:sz="4" w:space="0" w:color="auto"/>
            </w:tcBorders>
            <w:shd w:val="clear" w:color="FFFFFF" w:fill="auto"/>
            <w:textDirection w:val="btLr"/>
            <w:vAlign w:val="center"/>
          </w:tcPr>
          <w:p w:rsidR="00EE2C97" w:rsidRPr="00731E39" w:rsidRDefault="00EE2C97" w:rsidP="00731E39">
            <w:pPr>
              <w:spacing w:after="0" w:line="240" w:lineRule="auto"/>
              <w:jc w:val="center"/>
              <w:rPr>
                <w:rFonts w:ascii="Times New Roman" w:hAnsi="Times New Roman" w:cs="Times New Roman"/>
                <w:b/>
                <w:bCs/>
                <w:sz w:val="20"/>
                <w:szCs w:val="20"/>
              </w:rPr>
            </w:pPr>
          </w:p>
        </w:tc>
        <w:tc>
          <w:tcPr>
            <w:tcW w:w="3084" w:type="dxa"/>
            <w:gridSpan w:val="5"/>
            <w:vMerge/>
            <w:tcBorders>
              <w:top w:val="single" w:sz="4" w:space="0" w:color="auto"/>
              <w:left w:val="single" w:sz="4" w:space="0" w:color="auto"/>
              <w:bottom w:val="single" w:sz="4" w:space="0" w:color="auto"/>
              <w:right w:val="single" w:sz="4" w:space="0" w:color="auto"/>
            </w:tcBorders>
            <w:shd w:val="clear" w:color="FFFFFF" w:fill="auto"/>
            <w:vAlign w:val="center"/>
          </w:tcPr>
          <w:p w:rsidR="00EE2C97" w:rsidRPr="00731E39" w:rsidRDefault="00EE2C97" w:rsidP="00731E39">
            <w:pPr>
              <w:spacing w:after="0" w:line="240" w:lineRule="auto"/>
              <w:jc w:val="center"/>
              <w:rPr>
                <w:rFonts w:ascii="Times New Roman" w:hAnsi="Times New Roman" w:cs="Times New Roman"/>
                <w:b/>
                <w:bCs/>
                <w:sz w:val="20"/>
                <w:szCs w:val="20"/>
              </w:rPr>
            </w:pPr>
          </w:p>
        </w:tc>
      </w:tr>
      <w:tr w:rsidR="00EE2C97" w:rsidRPr="00731E39">
        <w:trPr>
          <w:trHeight w:val="60"/>
          <w:tblHeader/>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spacing w:after="0" w:line="240" w:lineRule="auto"/>
              <w:jc w:val="center"/>
              <w:rPr>
                <w:rFonts w:ascii="Times New Roman" w:hAnsi="Times New Roman" w:cs="Times New Roman"/>
                <w:sz w:val="20"/>
                <w:szCs w:val="20"/>
              </w:rPr>
            </w:pPr>
            <w:r w:rsidRPr="00731E39">
              <w:rPr>
                <w:rFonts w:ascii="Times New Roman" w:hAnsi="Times New Roman" w:cs="Times New Roman"/>
                <w:sz w:val="20"/>
                <w:szCs w:val="20"/>
              </w:rPr>
              <w:t>1</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center"/>
              <w:rPr>
                <w:rFonts w:ascii="Times New Roman" w:hAnsi="Times New Roman" w:cs="Times New Roman"/>
                <w:sz w:val="20"/>
                <w:szCs w:val="20"/>
              </w:rPr>
            </w:pPr>
            <w:r w:rsidRPr="00731E39">
              <w:rPr>
                <w:rFonts w:ascii="Times New Roman" w:hAnsi="Times New Roman" w:cs="Times New Roman"/>
                <w:sz w:val="20"/>
                <w:szCs w:val="20"/>
              </w:rPr>
              <w:t>4</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center"/>
              <w:rPr>
                <w:rFonts w:ascii="Times New Roman" w:hAnsi="Times New Roman" w:cs="Times New Roman"/>
                <w:sz w:val="20"/>
                <w:szCs w:val="20"/>
              </w:rPr>
            </w:pPr>
            <w:r w:rsidRPr="00731E39">
              <w:rPr>
                <w:rFonts w:ascii="Times New Roman" w:hAnsi="Times New Roman" w:cs="Times New Roman"/>
                <w:sz w:val="20"/>
                <w:szCs w:val="20"/>
              </w:rPr>
              <w:t>5</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center"/>
              <w:rPr>
                <w:rFonts w:ascii="Times New Roman" w:hAnsi="Times New Roman" w:cs="Times New Roman"/>
                <w:sz w:val="20"/>
                <w:szCs w:val="20"/>
              </w:rPr>
            </w:pPr>
            <w:r w:rsidRPr="00731E39">
              <w:rPr>
                <w:rFonts w:ascii="Times New Roman" w:hAnsi="Times New Roman" w:cs="Times New Roman"/>
                <w:sz w:val="20"/>
                <w:szCs w:val="20"/>
              </w:rPr>
              <w:t>6</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Муниципальная программа «Социальная поддержка населения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0100000000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48 785 059,20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Подпрограмма «Развитие мер социальной поддержки отдельных категорий граждан»</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0110000000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15 688 059,20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«Обеспечение жильем молодых семей»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0110100000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5 411 059,20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по обеспечению жильем молодых семей государственной программы «Обеспечение доступным и комфортным жильем и коммунальными услугами граждан Российской Федерации»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01101L0200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119 361,60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Социальное обеспечение и иные выплаты населению</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01101L0200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119 361,60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01101L0200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119 361,60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Реализация мероприятий по обеспечению жильем молодых семей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01101L4970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5 291 697,60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Социальное обеспечение и иные выплаты населению</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01101L4970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5 291 697,60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01101L4970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5 291 697,60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«Предоставление жилых помещений детям-сиротам и детям, оставшимся без попечения родителей, лицам их числа по договорам найма специализированных жилых помещений»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0110200000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10 277 000,00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Софинансирование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территории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01102R0820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2 198 000,00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01102R0820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400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2 198 000,00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Бюджетные инвестиции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01102R0820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410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2 198 000,00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Софинансирование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территории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01102К0820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8 079 000,00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01102К0820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400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7 917 000,00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Бюджетные инвестиции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01102К0820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410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7 917 000,00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01102К0820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162 000,00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Уплата налогов, сборов и иных платежей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01102К0820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850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162 000,00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Подпрограмма «Социальная поддержка семьи и детей»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0120000000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33 097 000,00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«Социальная поддержка обучающихся и воспитанников муниципальных образовательных учреждений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0120100000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12 468 000,00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Обеспечение питанием обучающихся в муниципальных образовательных учреждениях Кондопожского муниципального района, реализующих образовательные программы начального общего, основного общего и среднего общего образования: из малоимущих семей; семей граждан Украины и лиц без гражданства, постоянно проживающих на территории Украины, которым предоставлено временное убежище на территории Российской Федерации, проживающих на территории Республики Карелия, имеющих детей;обучающихся, являющихся детьми-инвалидами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0120143210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12 468 000,00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Социальное обеспечение и иные выплаты населению</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0120143210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12 468 000,00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0120143210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12 468 000,00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«Выплата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0120200000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18 479 000,00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государственных полномочий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на территории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0120242030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18 479 000,00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0120242030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164 820,00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0120242030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164 820,00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Социальное обеспечение и иные выплаты населению</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0120242030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18 314 180,00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0120242030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18 314 180,00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«Осуществление государственных полномочий Республики Карелия по организации и осуществлению деятельности органов опеки и попечительства»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0120300000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2 150 000,00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государственных полномочий по организации и осуществлению деятельности органов опеки и попечительства на территории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0120342090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2 150 000,00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0120342090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2 097 500,00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государственных (муниципальных) органов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0120342090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2 097 500,00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0120342090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52 500,00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0120342090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52 500,00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Муниципальная программа «Отдых и занятость детей и подростков в каникулярное время в Кондопожском муниципальном районе»</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0200000000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3 041 070,00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«Организация отдыха детей в каникулярное время в Кондопожском муниципальном районе»</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0200100000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2 836 290,00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Софинансирование мероприятий в целях организации отдыха детей в каникулярное время государственной программы Республики Карелия "Совершенствование социальной защиты граждан", на территории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0200143210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1 698 000,00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0200143210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1 698 000,00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0200143210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1 698 000,00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организацию отдыха детей в каникулярное время, организуемые муниципальными учреждениями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02001S3210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1 138 290,00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02001S3210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1 138 290,00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02001S3210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1 138 290,00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"Занятость детей и подростков в каникулярное время в Кондопожском муниципальном районе"</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0200200000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204 780,00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временное трудоустройство несовершеннолетних в возрасте от 14 до 18 лет в свободное от учебы время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0200270110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204 780,00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0200270110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204 780,00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0200270110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204 780,00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Муниципальная программа «Развитие образования в Кондопожском муниципальном районе»</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0300000000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648 164 611,24</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Подпрограмма «Развитие дошкольного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0310000000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262 059 170,76</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«Организация предоставления общедоступного и бесплатного дошкольного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0310100000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262 059 170,76</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дошкольного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0310142040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575 528,00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0310142040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575 528,00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0310142040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575 528,00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государственных полномочий, предусмотренных пунктом 5 части 1 статьи 9 Закона Республики Карелия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учреждениях Республики Карелия в  сфере дошкольного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0310142100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1 302 503,00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0310142100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521 781,00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0310142100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521 781,00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0310142100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760 794,00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0310142100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760 794,00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Социальное обеспечение и иные выплаты населению</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0310142100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19 928,00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0310142100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19 928,00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0310142190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150 433 268,00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0310142190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98 628 876,00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0310142190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98 628 876,00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0310142190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958 552,00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0310142190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958 552,00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0310142190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50 845 840,00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Резервные средства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0310142190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870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50 845 840,00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обеспечение условий осуществления деятельности в сфере дошкольного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0310170110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36 725 541,10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8 821 855,47</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8 821 855,47</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27 171 470,55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27 171 470,55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Социальное обеспечение и иные выплаты населению</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200 771,10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200 771,10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531 443,98</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Исполнение судебных актов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830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Уплата налогов, сборов и иных платежей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850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530 943,98</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создание условий для осуществления присмотра и ухода за детьми в сфере дошкольного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0310170120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71 995 158,66</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26 040 601,65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26 040 601,65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45 871 753,00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45 871 753,00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Социальное обеспечение и иные выплаты населению</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82 804,01</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82 804,01</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поддержку детей-инвалидов, детей-сирот и детей, оставшихся без попечения родителей, детей с туберкулезной интоксикацией, детей, у которых оба или один из родителей являются инвалидами I или II группы, посещающих муниципальные образовательные учреждения Кондопожского муниципального района, реализующие образовательную программу дошкольного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0310170140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1 027 172,00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1 027 172,00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0310170140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1 027 172,00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Подпрограмма «Развитие общего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0320000000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317 160 129,03</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«Организация предоставления общедоступного и бесплатного начального общего, основного общего, среднего общего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0320100000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314 580 629,03</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Реализация отдельных мероприятий в сфере общего образования за счет межбюджетных трансфертов, направленных на поощрение достижения значений (уровней) показателей для оценки эффективности деятельности должностных лиц муниципальных районов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0320141040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4 062 582,00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0320141040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4 062 582,00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0320141040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4 062 582,00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общего образования, основного общего, среднего общего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0320142040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949 626,00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0320142040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949 626,00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0320142040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949 626,00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государственных полномочий Республики Карелия, предусмотренных пунктом 5 части 1 статьи 9 Закона Республики Карелия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учреждениях Республики Карелия  в сфере общего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0320142100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697 497,00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0320142100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607 821,00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0320142100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607 821,00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Социальное обеспечение и иные выплаты населению</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0320142100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89 676,00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0320142100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89 676,00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учреждениях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0320142190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257 836 732,00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0320142190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158 574 705,00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0320142190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158 574 705,00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0320142190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4 918 172,00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0320142190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4 918 172,00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0320142190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94 343 855,00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Резервные средства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0320142190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870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94 343 855,00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Софинансирование мероприятий государственной программы Республики Карелия «Развитие образования» в целях организации транспортного обслуживания обучающихся, проживающих в сельских населенных пунктах, на территории которых отсутствуют общеобразовательные организации к месту обучения и обратно, проведения ремонта зданий общеобразовательных организаций на территории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0320143200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6 584 000,00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2 360 106,00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2 360 106,00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4 223 894,00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0320143200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4 223 894,00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обеспечение условий осуществления деятельности в сфере начального общего, основного общего, среднего общего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0320170110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41 433 131,03</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11 536 533,07</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11 536 533,07</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27 534 170,18</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27 534 170,18</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2 362 427,78</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Исполнение судебных актов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830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22 365,20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Уплата налогов, сборов и иных платежей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850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2 340 062,58</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поддержку обучающихся и посещающих муниципальные образовательные учреждения Кондопожского муниципального района, реализующие образовательные программы начального общего, основного общего, среднего общего образования с ограниченными возможностями здоровья по заключению медицинских учреждений; обучающихся  и проживающих при интернатах  из семей, являющихся малообеспеченными гражданами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0320170150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2 218 840,00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0320170150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2 218 840,00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0320170150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2 218 840,00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организацию транспортного обслуживания обучающихся, проживающих в населенных пунктах, на территории которых отсутствуют общеобразовательные организации к месту обучения и обратно, проведения ремонта зданий общеобразовательных организаций на территории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03201S3200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798 221,00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03201S3200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486 465,00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03201S3200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486 465,00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03201S3200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270 000,00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03201S3200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270 000,00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03201S3200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41 756,00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Уплата налогов, сборов и иных платежей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03201S3200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850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41 756,00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«Реализация отдельных мероприятий федерального проекта «Успех каждого ребенка» национального проекта «Образование»</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032E200000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2 579 500,00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Реализация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032E250970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2 579 500,00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032E250970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2 579 500,00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032E250970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2 579 500,00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Подпрограмма «Развитие дополнительного образования детей»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0330000000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68 745 511,45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«Организация предоставления дополнительного образования детей»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0330100000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61 189 511,45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дополнительного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0330142040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57 846,00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0330142040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57 846,00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0330142040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57 846,00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обеспечение условий осуществления  деятельности дополнительных общеобразовательных, общеразвивающих программ</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0330170110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61 131 665,45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0330170110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50 052 502,43</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0330170110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50 052 502,43</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0330170110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9 917 683,67</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0330170110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9 917 683,67</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0330170110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1 161 479,35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Уплата налогов, сборов и иных платежей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0330170110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850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1 161 479,35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«Реализация "майских" указов Президента Российской Федерации»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0330200000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7 556 000,00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Софинансирование мероприятий, в целях частичной компенсации расходов на повышение оплаты труда педагогических работников дополнительного образования, определенных указами Президента Российской Федерации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0330243200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7 556 000,00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0330243200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7 556 000,00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0330243200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7 556 000,00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Реализация государственной программы Российской Федерации «Доступная среда»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03301L0270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199 800,00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03301L0270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199 800,00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03301L0270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199 800,00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Муниципальная программа «Культура в Кондопожском муниципальном районе»</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0400000000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16 817 941,80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«Организация музейного обслуживания населения»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0400100000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2 606 946,78</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организацию музейного дела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0400170110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2 606 946,78</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1 895 030,88</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1 895 030,88</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705 209,90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705 209,90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6 706,00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Уплата налогов, сборов и иных платежей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850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6 706,00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«Организация библиотечного обслуживания населения»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0400200000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14 202 035,02</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организацию библиотечного обслуживания населения библиотеками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0400270210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14 172 035,02</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0400270210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12 239 379,23</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0400270210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12 239 379,23</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0400270210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1 901 896,19</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0400270210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1 901 896,19</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Социальное обеспечение и иные выплаты населению</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0400270210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Премии и гранты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0400270210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350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0400270210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20 759,60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Исполнение судебных актов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0400270210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830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10 729,60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Уплата налогов, сборов и иных платежей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0400270210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850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10 030,00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Комплектование книжных фондов библиотек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0400270220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30 000,00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0400270220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30 000,00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0400270220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30 000,00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«Организация проведения независимой оценки качества оказания услуг муниципальными организациями культуры"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0400400000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8 960,00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организацию проведения независимой оценки качества оказания услугмуниципальными учреждениями культуры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0400470410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8 960,00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0400470410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8 960,00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0400470410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8 960,00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в Кондопожском муниципальном районе»</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0500000000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6 600,00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Профилактика терроризма и экстремизма, а также минимизация и (или) ликвидация последствий проявлений терроризма и экстремизма на территории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0500100000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6 600,00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организацию и проведение в Кондопожском районе информационно-пропагандистких мероприятий по разъяснению сущности и общественной опасности терроризма и экстремизма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0500170110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6 600,00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0500170110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6 600,00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0500170110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6 600,00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Муниципальная программа «Комплексное развитие коммунальной инфраструктуры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0600000000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3 866 076,85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«Содержание муниципального жилищного фонда»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0600100000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2 313 357,90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уплату взносов на капитальный ремонт общего имущества в многоквартирных домах</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0600170110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974 096,68</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974 096,68</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974 096,68</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техническое обследование жилых многоквартирных домов в сельских поселениях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0600170120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469 110,00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469 110,00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469 110,00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ремонт и содержание муниципального жилищного фонда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0600170130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317 017,90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0600170130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317 017,90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0600170130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317 017,90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в области жилищного хозяйства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0600170140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553 133,32</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0600170140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553 133,32</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0600170140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553 133,32</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«Реализация мероприятий в области коммунального хозяйства»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0600200000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164 003,65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полномочий в части организации в границах поселения водоснабжения населения в пределах полномочий, установленных законодательством Российской Федерации на территории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0600264040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115 110,00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0600264040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115 110,00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0600264040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115 110,00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организацию нецентрализованного холодного водоснабжения с использованием подземных источников водоснабжения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0600270110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48 893,65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0600270110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48 893,65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0600270110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48 893,65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«Содержание мест захоронения»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0600300000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823 281,30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полномочий по организации содержания мест захоронения на территории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0600364030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595 990,00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0600364030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595 990,00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0600364030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595 990,00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содержание мест захоронения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0600370110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227 291,30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0600370110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227 291,30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0600370110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227 291,30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0600400000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565 434,00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обустройство контейнерных площадок на территории сельских поселений Кондопожского муниципального района за счет межбюджетных трансфертов, направленных на поощрение достижения значений (уровней) показателей для оценки эффективности деятельности должностных лиц муниципальных районов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0600441040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436 044,00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0600441040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436 044,00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0600441040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436 044,00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участие в организации деятельности по сбору (в том числе раздельному сбору) и транспортированию твердых коммунальных отходов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0600470120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129 390,00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0600470120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129 390,00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0600470120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129 390,00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Муниципальная программа «Поддержка малого и среднего предпринимательства в Кондопожском муниципальном районе»</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0700000000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50 000,00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«Финансовая поддержка субъектов малого и среднего предпринимательства»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0700100000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50 000,00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содействие развития малого и среднего предпринимательства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0700170110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50 000,00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0700170110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0700170110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Муниципальная программа «Развитие физической культуры и массового спорта, формирование здорового образа жизни населения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0800000000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13 435 819,93</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0800100000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175 520,00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обеспечение условий для развития на территории Кондопожского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обеспечение участия спортивных сборных команд Кондопожского муниципального района в региональных официальных физкультурных и спортивных мероприятиях</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0800170110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175 520,00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0800170110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56 960,00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государственных (муниципальных) органов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0800170110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56 960,00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0800170110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118 560,00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0800170110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118 560,00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«Развитие системы спортивной подготовки»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0800200000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6 761 999,93</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развитие физической культуры и спорта, осуществление спортивной подготовки, подготовка спортивного резерва для спортивных команд Российской Федерации и Республики Карелия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0800270110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6 761 999,93</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0800270110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5 632 485,73</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0800270110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5 632 485,73</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0800270110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1 083 466,20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0800270110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1 083 466,20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0800270110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46 048,00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Уплата налогов, сборов и иных платежей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0800270110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850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46 048,00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«Реализация отдельных мероприятий федерального проекта «Спорт – норма жизни» национального проекта «Демография»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080P500000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6 498 300,00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Реализация мероприятий государственной программы Республики Карелия «Развитие физической культуры, спорта и совершенствование молодежной политики» (в целях развития системы спортивной подготовки)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080P543230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6 250 000,00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080P543230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3 362 960,34</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080P543230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3 362 960,34</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080P543230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2 887 039,66</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080P543230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2 887 039,66</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Реализация мероприятий по государственной поддержке спортивных учреждений,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080P550810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248 300,00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080P550810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248 300,00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080P550810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248 300,00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0900000000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18 302 791,00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0900100000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18 302 791,00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Софинансирование мероприятий государственной программы Республики Карелия "Развитие образования" в целях проведения мероприятий по повышению энергетической эффективности в муниципальных образовательных учреждениях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0900143200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18 031 000,00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0900143200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18 031 000,00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Резервные средства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0900143200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870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18 031 000,00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энергосбережение и повышение энергетической эффективности в сфере управления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0900170110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15 000,00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0900170110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15 000,00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0900170110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15 000,00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энергосбережение и повышение энергетической эффективности в сфере дошкольного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0900170120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106 791,00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0900170120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106 791,00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0900170120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106 791,00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энергосбережение и повышение энергетической эффективности в сфере общего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0900170130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90 000,00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0900170130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90 000,00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0900170130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90 000,00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энергосбережение и повышение энергетической эффективности в сфере дополнительного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0900170140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54 000,00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0900170140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54 000,00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0900170140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54 000,00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энергосбережение и повышение энергетической эффективности в сфере культуры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0900170150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0900170150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6 000,00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0900170150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6 000,00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Муниципальная программа «Профилактика правонарушений на территории Кондопожского муницпального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1000000000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54 984,00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«Профилактика правонарушений»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1000100000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19 994,00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профилактику правонарушений на территории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1000170110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19 994,00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19 994,00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19 994,00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«Укрепление межнационального и межконфессионального согласия, профилактика межнациональных (межэтнических) конфликтов»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1000200000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29 990,00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Кондопожского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1000270110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29 990,00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1000270110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29 990,00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1000270110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29 990,00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Основное мероприятие: «Обеспечение участия граждан в охране общественного порядка»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1000300000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5 000,00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обеспечение участия граждан в охране общественного порядка на территории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1000370110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5 000,00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1000370110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1000370110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Непрограммные направления деятельности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487 258 676,96</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Глава Администрации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1100110010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1 379 950,00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1100110010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1 379 950,00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государственных (муниципальных) органов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1100110010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1 379 950,00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Администрация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1100110020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66 345 022,10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1100110020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63 264 157,18</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государственных (муниципальных) органов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1100110020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63 264 157,18</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1100110020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3 080 864,92</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1100110020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3 080 864,92</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Глава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1100110030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108 000,00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1100110030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108 000,00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государственных (муниципальных) органов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1100110030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108 000,00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переданных полномочий по решению вопросов местного значения в части составления проектов бюджетов, исполнения бюджетов и составления отчетов об исполнении бюджетов сельских поселений за счет межбюджетных трансфертов, предоставляемых из бюджетов поселений в бюджет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1100124010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394 100,00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1100124010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394 100,00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1100124010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394 100,00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переданных полномочий по осуществлению внутреннего муниципального контроля поселений, за счет межбюджетных трансфертов, предоставляемых из бюджетов поселений в бюджет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1100124030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49 231,00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1100124030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49 231,00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1100124030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49 231,00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переданных государственных полномочий по созданию комиссий по делам несовершеннолетних и защите их прав и организация деятельности таких комиссий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1100142020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542 000,00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1100142020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542 000,00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государственных (муниципальных) органов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1100142020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542 000,00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переданных государственных полномочий по регулированию цен (тарифов) на отдельные виды продукции, товаров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1100142120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119 000,00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1100142120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119 000,00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государственных (муниципальных) органов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1100142120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119 000,00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1100142140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376 000,00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1100142140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360 000,00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1100142140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360 000,00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1100142140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16 000,00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Субвенции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1100142140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530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16 000,00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проведение ремонта в здании Администрации Кондопожского муниципального района; на решение иных вопросов местного значения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1100144170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136 647,00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1100144170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136 647,00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1100144170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136 647,00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1100151200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4 000,00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1100151200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1100151200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 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 на территории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1100164010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72 870,00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1100164010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72 870,00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1100164010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72 870,00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Резервный фонд Администрации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1100170100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7 700 000,00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90 343,00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90 343,00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7 609 657,00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Резервные средства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870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7 609 657,00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выполнение функций, связанных с реализацией других общегосударственных вопросов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2 462 784,68</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1 970 740,49</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1 970 740,49</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492 044,19</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Исполнение судебных актов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830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450 708,19</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Уплата налогов, сборов и иных платежей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850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41 336,00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осуществление административно-хозяйственной деятельности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57 804 633,60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53 035 490,82</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53 035 490,82</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4 054 671,07</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4 054 671,07</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Социальное обеспечение и иные выплаты населению</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560 930,71</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560 930,71</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153 541,00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Исполнение судебных актов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830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Уплата налогов, сборов и иных платежей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850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146 541,00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осуществление финансово-экономических функций бухгалтерского и иного сопровождения организации на территории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1100170140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20 364 856,32</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19 621 768,50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казенных учреждений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19 621 768,50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743 087,82</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1100170140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743 087,82</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переданных полномочий по первичному воинскому учету на территориях, где отсутствуют военные комиссариаты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1100251180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895 300,00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1100251180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895 300,00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Субвенции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1100251180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530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895 300,00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Создание резервного фонда на финансовое обеспечение расходов, связанных с ликвидацией последствий стихийных бедствий и других чрезвычайных ситуаций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1100370300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300 000,00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1100370300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300 000,00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Резервные средства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1100370300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870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300 000,00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отдельных государственных полномочий по организации проведения на территории Республики Карелия мероприятий по отлову и содержанию безнадзорных животных на территории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1100442180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1 670 000,00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1100442180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1 670 000,00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1100442180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1 670 000,00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Софинансирование мероприятий в целях проектирования, ремонта и содержания автомобильных дорог общего пользования местного значения в рамках государственной программы Республики Карелия «Развитие транспортной системы»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1100443180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1 035 000,00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1100443180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1 035 000,00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1100443180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1 035 000,00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осуществление функций в области градостроительной деятельности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1100470400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685 539,95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1100470400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685 539,95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1100470400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685 539,95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направленные на создание условий для предоставления транспортных услуг населению</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1100470410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1 100 000,00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1100470410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1 100 000,00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1100470410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1 100 000,00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Реализация мероприятий по  обеспечению доступным и комфортным жильем и жилищно-коммунальными услугами в рамках государственной программы Республики Карелия «Обеспечение доступным и комфортным жильем и жилищно-коммунальными услугами»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1100543220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12 500 000,00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1100543220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12 500 000,00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Субсидии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1100543220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12 500 000,00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Приобретение благоустроенного жилого помещения в целях исполнения судебного решения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1100590500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1 400 000,00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1100590500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400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1 400 000,00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Бюджетные инвестиции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1100590500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410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1 400 000,00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Обеспечение питанием сотрудников муниципальных образовательных учреждений Кондопожского муниципального района, осуществляющих образовательную деятельность по образовательным программам дошкольного образования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1100770700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1 020 734,00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1100770700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1 020 734,00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1100770700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1 020 734,00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Реализация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11007L2550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11007L2550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Резервные средства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11007L2550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870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Софинансирование мероприятий, направленных на частичную компенсацию расходов на повышение оплаты труда работников бюджетных учреждений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1100843250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7 235 000,00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1100843250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1100843250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бюджетные ассигнования</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1100843250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7 135 000,00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Резервные средства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1100843250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870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7 135 000,00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Доплата к страховой пенсии по старости (инвалидности) муниципальным служащим</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1101081000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7 810 731,36</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Социальное обеспечение и иные выплаты населению</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1101081000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7 810 731,36</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Публичные нормативные социальные выплаты гражданам</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1101081000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310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7 810 731,36</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связанные с выплатой процентных платежей по муниципальным долговым обязательствам</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1101371300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11 554 902,95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Обслуживание государственного (муниципального) долга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1101371300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700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11 554 902,95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Обслуживание муниципального долга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1101371300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730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11 554 902,95</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Иные межбюджетные трансферты на приоритетные направления расходов (заработная плата, начисления на выплаты по оплате труда, коммунальные услуги) и на социально-экономическое развитие территории поселений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1101441040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4 161 374,00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1101441040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4 161 374,00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1101441040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4 161 374,00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переданных государственных полномочий по расчету и предоставлению дотаций на выравнивание бюджетной обеспеченности бюджетам поселений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1101442150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1 421 000,00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1101442150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1 421 000,00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Дотации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1101442150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1 421 000,00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Дотация на выравнивание уровня бюджетной обеспеченности поселений, входящих в состав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1101461010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15 000 000,00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1101461010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15 000 000,00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Дотации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1101461010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510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15 000 000,00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Иные межбюджетные трансферты на поддержку мер по обеспечению сбалансированности бюджетов муниципальных образований</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1101464020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1 843 000,00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1101464020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1 843 000,00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1101464020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1 843 000,00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 (в рамках реализации национального проекта «Жилье и городская среда»)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110F367483</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195 591 300,00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110F367483</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195 591 300,00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Субсидии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110F367483</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195 591 300,00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Обеспечение мероприятий по переселению граждан из аварийного жилищного фонда (в рамках реализации национального проекта «Жилье и городская среда»)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110F367484</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1 975 700,00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110F367484</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1 975 700,00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Субсидии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110F367484</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1 975 700,00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Мероприятия по финансовому обеспечению дорожной деятельности в муниципальных образованиях (в рамках реализации национального проекта «Безопасные и качественные автомобильные дороги»)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110R144150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62 000 000,00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110R144150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62 000 000,00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межбюджетные трансферты</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110R144150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540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62 000 000,00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Непрограммные направления деятельности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1100000000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3 667 284,00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полномочий Контрольно-счетного органа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1100110040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2 926 939,00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1100110040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2 894 539,00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государственных (муниципальных) органов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1100110040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2 894 539,00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1100110040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32 400,00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1100110040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32 400,00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бюджет Кондопожского муниципального района</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1100124020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b/>
                <w:bCs/>
                <w:sz w:val="20"/>
                <w:szCs w:val="20"/>
              </w:rPr>
            </w:pPr>
            <w:r w:rsidRPr="00731E39">
              <w:rPr>
                <w:rFonts w:ascii="Times New Roman" w:hAnsi="Times New Roman" w:cs="Times New Roman"/>
                <w:b/>
                <w:bCs/>
                <w:sz w:val="20"/>
                <w:szCs w:val="20"/>
              </w:rPr>
              <w:t>000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740 345,00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1100124020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555 695,00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Расходы на выплаты персоналу государственных (муниципальных) органов</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1100124020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120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555 695,00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1100124020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200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184 650,00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EE2C97" w:rsidRPr="00731E39" w:rsidRDefault="00EE2C97" w:rsidP="00731E39">
            <w:pPr>
              <w:spacing w:after="0" w:line="240" w:lineRule="auto"/>
              <w:rPr>
                <w:rFonts w:ascii="Times New Roman" w:hAnsi="Times New Roman" w:cs="Times New Roman"/>
                <w:sz w:val="20"/>
                <w:szCs w:val="20"/>
              </w:rPr>
            </w:pPr>
            <w:r w:rsidRPr="00731E39">
              <w:rPr>
                <w:rFonts w:ascii="Times New Roman" w:hAnsi="Times New Roman" w:cs="Times New Roman"/>
                <w:sz w:val="20"/>
                <w:szCs w:val="20"/>
              </w:rPr>
              <w:t>Иные закупки товаров, работ и услуг</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1100124020</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rPr>
                <w:rFonts w:ascii="Times New Roman" w:hAnsi="Times New Roman" w:cs="Times New Roman"/>
                <w:sz w:val="20"/>
                <w:szCs w:val="20"/>
              </w:rPr>
            </w:pPr>
            <w:r w:rsidRPr="00731E39">
              <w:rPr>
                <w:rFonts w:ascii="Times New Roman" w:hAnsi="Times New Roman" w:cs="Times New Roman"/>
                <w:sz w:val="20"/>
                <w:szCs w:val="20"/>
              </w:rPr>
              <w:t>240</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wordWrap w:val="0"/>
              <w:spacing w:after="0" w:line="240" w:lineRule="auto"/>
              <w:jc w:val="right"/>
              <w:rPr>
                <w:rFonts w:ascii="Times New Roman" w:hAnsi="Times New Roman" w:cs="Times New Roman"/>
                <w:sz w:val="20"/>
                <w:szCs w:val="20"/>
              </w:rPr>
            </w:pPr>
            <w:r w:rsidRPr="00731E39">
              <w:rPr>
                <w:rFonts w:ascii="Times New Roman" w:hAnsi="Times New Roman" w:cs="Times New Roman"/>
                <w:sz w:val="20"/>
                <w:szCs w:val="20"/>
              </w:rPr>
              <w:t>184 650,00</w:t>
            </w:r>
          </w:p>
        </w:tc>
      </w:tr>
      <w:tr w:rsidR="00EE2C97" w:rsidRPr="00731E39">
        <w:trPr>
          <w:trHeight w:val="60"/>
        </w:trPr>
        <w:tc>
          <w:tcPr>
            <w:tcW w:w="210" w:type="dxa"/>
            <w:shd w:val="clear" w:color="FFFFFF" w:fill="auto"/>
            <w:vAlign w:val="bottom"/>
          </w:tcPr>
          <w:p w:rsidR="00EE2C97" w:rsidRPr="00731E39" w:rsidRDefault="00EE2C97" w:rsidP="00731E39">
            <w:pPr>
              <w:spacing w:after="0" w:line="240" w:lineRule="auto"/>
              <w:rPr>
                <w:rFonts w:ascii="Times New Roman" w:hAnsi="Times New Roman" w:cs="Times New Roman"/>
                <w:b/>
                <w:bCs/>
                <w:sz w:val="20"/>
                <w:szCs w:val="20"/>
              </w:rPr>
            </w:pPr>
          </w:p>
        </w:tc>
        <w:tc>
          <w:tcPr>
            <w:tcW w:w="420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ИТОГО:</w:t>
            </w:r>
          </w:p>
        </w:tc>
        <w:tc>
          <w:tcPr>
            <w:tcW w:w="1811"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spacing w:after="0" w:line="240" w:lineRule="auto"/>
              <w:jc w:val="center"/>
              <w:rPr>
                <w:rFonts w:ascii="Times New Roman" w:hAnsi="Times New Roman" w:cs="Times New Roman"/>
                <w:b/>
                <w:bCs/>
                <w:sz w:val="20"/>
                <w:szCs w:val="20"/>
              </w:rPr>
            </w:pPr>
            <w:r w:rsidRPr="00731E39">
              <w:rPr>
                <w:rFonts w:ascii="Times New Roman" w:hAnsi="Times New Roman" w:cs="Times New Roman"/>
                <w:b/>
                <w:bCs/>
                <w:sz w:val="20"/>
                <w:szCs w:val="20"/>
              </w:rPr>
              <w:t>Х</w:t>
            </w:r>
          </w:p>
        </w:tc>
        <w:tc>
          <w:tcPr>
            <w:tcW w:w="1772"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spacing w:after="0" w:line="240" w:lineRule="auto"/>
              <w:jc w:val="center"/>
              <w:rPr>
                <w:rFonts w:ascii="Times New Roman" w:hAnsi="Times New Roman" w:cs="Times New Roman"/>
                <w:b/>
                <w:bCs/>
                <w:sz w:val="20"/>
                <w:szCs w:val="20"/>
              </w:rPr>
            </w:pPr>
            <w:r w:rsidRPr="00731E39">
              <w:rPr>
                <w:rFonts w:ascii="Times New Roman" w:hAnsi="Times New Roman" w:cs="Times New Roman"/>
                <w:b/>
                <w:bCs/>
                <w:sz w:val="20"/>
                <w:szCs w:val="20"/>
              </w:rPr>
              <w:t>Х</w:t>
            </w:r>
          </w:p>
        </w:tc>
        <w:tc>
          <w:tcPr>
            <w:tcW w:w="3084"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E2C97" w:rsidRPr="00731E39" w:rsidRDefault="00EE2C97" w:rsidP="00731E39">
            <w:pPr>
              <w:spacing w:after="0" w:line="240" w:lineRule="auto"/>
              <w:jc w:val="right"/>
              <w:rPr>
                <w:rFonts w:ascii="Times New Roman" w:hAnsi="Times New Roman" w:cs="Times New Roman"/>
                <w:b/>
                <w:bCs/>
                <w:sz w:val="20"/>
                <w:szCs w:val="20"/>
              </w:rPr>
            </w:pPr>
            <w:r w:rsidRPr="00731E39">
              <w:rPr>
                <w:rFonts w:ascii="Times New Roman" w:hAnsi="Times New Roman" w:cs="Times New Roman"/>
                <w:b/>
                <w:bCs/>
                <w:sz w:val="20"/>
                <w:szCs w:val="20"/>
              </w:rPr>
              <w:t>1 243 450 914,98</w:t>
            </w:r>
          </w:p>
        </w:tc>
      </w:tr>
    </w:tbl>
    <w:p w:rsidR="00EE2C97" w:rsidRPr="00E63793" w:rsidRDefault="00EE2C97">
      <w:pPr>
        <w:rPr>
          <w:rFonts w:ascii="Times New Roman" w:hAnsi="Times New Roman" w:cs="Times New Roman"/>
          <w:sz w:val="20"/>
          <w:szCs w:val="20"/>
        </w:rPr>
      </w:pPr>
    </w:p>
    <w:sectPr w:rsidR="00EE2C97" w:rsidRPr="00E63793" w:rsidSect="00000D03">
      <w:headerReference w:type="default" r:id="rId6"/>
      <w:pgSz w:w="11907" w:h="16839"/>
      <w:pgMar w:top="567" w:right="567"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C97" w:rsidRDefault="00EE2C97">
      <w:pPr>
        <w:spacing w:after="0" w:line="240" w:lineRule="auto"/>
      </w:pPr>
      <w:r>
        <w:separator/>
      </w:r>
    </w:p>
  </w:endnote>
  <w:endnote w:type="continuationSeparator" w:id="1">
    <w:p w:rsidR="00EE2C97" w:rsidRDefault="00EE2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C97" w:rsidRDefault="00EE2C97">
      <w:pPr>
        <w:spacing w:after="0" w:line="240" w:lineRule="auto"/>
      </w:pPr>
      <w:r>
        <w:separator/>
      </w:r>
    </w:p>
  </w:footnote>
  <w:footnote w:type="continuationSeparator" w:id="1">
    <w:p w:rsidR="00EE2C97" w:rsidRDefault="00EE2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C97" w:rsidRDefault="00EE2C97" w:rsidP="00731E39">
    <w:pPr>
      <w:tabs>
        <w:tab w:val="right" w:pos="10773"/>
      </w:tabs>
    </w:pPr>
    <w:r>
      <w:tab/>
    </w:r>
    <w:r>
      <w:rPr>
        <w:rFonts w:ascii="Arial" w:hAnsi="Arial" w:cs="Arial"/>
        <w:color w:val="000000"/>
        <w:sz w:val="16"/>
        <w:szCs w:val="16"/>
      </w:rPr>
      <w:tab/>
      <w:t xml:space="preserve">Страница </w:t>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9C2"/>
    <w:rsid w:val="00000D03"/>
    <w:rsid w:val="001009C2"/>
    <w:rsid w:val="00414C19"/>
    <w:rsid w:val="006A3503"/>
    <w:rsid w:val="00731E39"/>
    <w:rsid w:val="00E63793"/>
    <w:rsid w:val="00EE2C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0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0">
    <w:name w:val="TableStyle0"/>
    <w:uiPriority w:val="99"/>
    <w:rsid w:val="00000D03"/>
    <w:rPr>
      <w:rFonts w:ascii="Arial" w:hAnsi="Arial" w:cs="Arial"/>
      <w:sz w:val="16"/>
      <w:szCs w:val="16"/>
    </w:rPr>
    <w:tblPr>
      <w:tblCellMar>
        <w:top w:w="0" w:type="dxa"/>
        <w:left w:w="0" w:type="dxa"/>
        <w:bottom w:w="0" w:type="dxa"/>
        <w:right w:w="0" w:type="dxa"/>
      </w:tblCellMar>
    </w:tblPr>
  </w:style>
  <w:style w:type="table" w:customStyle="1" w:styleId="TableStyle1">
    <w:name w:val="TableStyle1"/>
    <w:uiPriority w:val="99"/>
    <w:rsid w:val="00000D03"/>
    <w:rPr>
      <w:rFonts w:ascii="Arial" w:hAnsi="Arial" w:cs="Arial"/>
      <w:sz w:val="16"/>
      <w:szCs w:val="16"/>
    </w:rPr>
    <w:tblPr>
      <w:tblCellMar>
        <w:top w:w="0" w:type="dxa"/>
        <w:left w:w="0" w:type="dxa"/>
        <w:bottom w:w="0" w:type="dxa"/>
        <w:right w:w="0" w:type="dxa"/>
      </w:tblCellMar>
    </w:tblPr>
  </w:style>
  <w:style w:type="paragraph" w:styleId="Header">
    <w:name w:val="header"/>
    <w:basedOn w:val="Normal"/>
    <w:link w:val="HeaderChar"/>
    <w:uiPriority w:val="99"/>
    <w:rsid w:val="00000D03"/>
  </w:style>
  <w:style w:type="character" w:customStyle="1" w:styleId="HeaderChar">
    <w:name w:val="Header Char"/>
    <w:basedOn w:val="DefaultParagraphFont"/>
    <w:link w:val="Header"/>
    <w:uiPriority w:val="99"/>
    <w:semiHidden/>
    <w:rsid w:val="006D1905"/>
    <w:rPr>
      <w:rFonts w:cs="Calibri"/>
    </w:rPr>
  </w:style>
  <w:style w:type="paragraph" w:styleId="Footer">
    <w:name w:val="footer"/>
    <w:basedOn w:val="Normal"/>
    <w:link w:val="FooterChar"/>
    <w:uiPriority w:val="99"/>
    <w:rsid w:val="00E6379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637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7993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shlya</dc:creator>
  <cp:keywords/>
  <dc:description/>
  <cp:lastModifiedBy>shlya</cp:lastModifiedBy>
  <cp:revision>3</cp:revision>
  <dcterms:created xsi:type="dcterms:W3CDTF">2020-03-19T14:04:00Z</dcterms:created>
  <dcterms:modified xsi:type="dcterms:W3CDTF">2020-03-20T11:08:00Z</dcterms:modified>
</cp:coreProperties>
</file>