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/>
      </w:pPr>
      <w:r>
        <w:rPr/>
        <w:object>
          <v:shape id="ole_rId2" style="width:56.95pt;height:74.4pt" o:ole="">
            <v:imagedata r:id="rId3" o:title=""/>
          </v:shape>
          <o:OLEObject Type="Embed" ProgID="" ShapeID="ole_rId2" DrawAspect="Content" ObjectID="_138783666" r:id="rId2"/>
        </w:objec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Карелия</w: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</w:t>
      </w:r>
    </w:p>
    <w:p>
      <w:pPr>
        <w:pStyle w:val="NoSpacing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highlight w:val="white"/>
          <w:lang w:eastAsia="ru-RU"/>
        </w:rPr>
        <w:t>Кондопожского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анализу отчета об исполнении бюджета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  <w:t>Курортного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1 квартал 2018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19  июля 2018 год                                                                                                        № 63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отчета об исполнении бюджета </w:t>
      </w:r>
      <w:bookmarkStart w:id="0" w:name="__DdeLink__749_3091637894"/>
      <w:r>
        <w:rPr>
          <w:rFonts w:cs="Times New Roman" w:ascii="Times New Roman" w:hAnsi="Times New Roman"/>
          <w:sz w:val="26"/>
          <w:szCs w:val="26"/>
        </w:rPr>
        <w:t>К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урортного сельского поселения за 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 квартал 2018 года подготовлен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 w:ascii="Times New Roman" w:hAnsi="Times New Roman"/>
          <w:sz w:val="26"/>
          <w:szCs w:val="26"/>
          <w:highlight w:val="white"/>
        </w:rPr>
        <w:t>Решением Совета Кондопожского муниципального района от 18 марта 2015г. № 3 «Об образовании Контрольно-счетного органа Кондопожского муниципального района и утвержденным Положением о Контрольно-счетном органе Кондопожского муниципального района»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С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оглашением б/н от 27.12.2017года «О передаче Контрольно-счетному органу 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полномочий контрольно-счетного органа Курортного сельского поселения по осуществлению внешнего муниципального финансового контроля», </w:t>
      </w:r>
      <w:r>
        <w:rPr>
          <w:rFonts w:cs="Times New Roman" w:ascii="Times New Roman" w:hAnsi="Times New Roman"/>
          <w:sz w:val="26"/>
          <w:szCs w:val="26"/>
        </w:rPr>
        <w:t xml:space="preserve">пунктом 1.13. плана работы Контрольно-счетного органа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</w:rPr>
        <w:t xml:space="preserve">на 2018 год.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сведения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поступления и фактического расходования бюджетных средств Курортного сельского поселения использовались  данные отчета об исполнении бюджета Курортного сельского поселения 1 квартал 2018 года, за 1 квартал 2017 года;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информация Управления Федерального казначейства по Республике Карелия, полученная в рамках Соглашения «Об информационном взаимодействии между Управлением Федерального казначейства по Республике Карелия и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  <w:lang w:eastAsia="ru-RU"/>
        </w:rPr>
        <w:t>от 29.03.2018 года; документы, размещенные в источниках официального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264.2. Бюджетного Кодекса Российской Федерации (далее – Бюджетный кодекс РФ)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Отчет об исполнении бюджета Курортного сельского поселения за 1 квартал 2018 года утвержден Постановлением Администрации Курортного сельского поселения от 16.04.2018 № 7 (далее – отчет за 1 квартал 2018 года) и представлен в Контрольно-счетный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21.06.2018 года.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исполнении. 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На момент проведения данного экспертно-аналитического мероприятия отчет за 1 квартал 2018 года опубликован в информационном бюллетене «Вестнике Курортного сельского поселения»  10 мая 2018 года.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2. Анализ исполнения бюджета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исполнения бюджета установлено следующее: </w:t>
      </w:r>
    </w:p>
    <w:p>
      <w:pPr>
        <w:pStyle w:val="NoSpacing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Курортного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утвержден Решением Совета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Курортного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от 15.12.2017 года № 1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бюджете Курортного сельского поселения на 2018 год и на плановый период 2019 и 2020 годов</w:t>
      </w:r>
      <w:r>
        <w:rPr>
          <w:rFonts w:cs="Times New Roman" w:ascii="Times New Roman" w:hAnsi="Times New Roman"/>
          <w:sz w:val="26"/>
          <w:szCs w:val="26"/>
        </w:rPr>
        <w:t xml:space="preserve">» (далее - Решение о бюджете).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о бюджете, 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Курортного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на 2018 год утвержден по доходам в сумме 1806,32 тыс.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рублей,</w:t>
      </w:r>
      <w:r>
        <w:rPr>
          <w:rFonts w:cs="Times New Roman" w:ascii="Times New Roman" w:hAnsi="Times New Roman"/>
          <w:sz w:val="26"/>
          <w:szCs w:val="26"/>
        </w:rPr>
        <w:t xml:space="preserve"> по расходам в сумме  1806,32 тыс.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рублей</w:t>
      </w:r>
      <w:r>
        <w:rPr>
          <w:rFonts w:cs="Times New Roman" w:ascii="Times New Roman" w:hAnsi="Times New Roman"/>
          <w:sz w:val="26"/>
          <w:szCs w:val="26"/>
        </w:rPr>
        <w:t xml:space="preserve">.   Дефицит бюджета утвержден в сумме 0,00 тыс. рублей.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от 26.03.2018 года № 1 «О внесении изменений в Решение Совета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Курортного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от 15.12.2017 года № 1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бюджете Курортного сельского поселения на 2018 год и на плановый период 2019 и 2020 годов</w:t>
      </w:r>
      <w:r>
        <w:rPr>
          <w:rFonts w:cs="Times New Roman" w:ascii="Times New Roman" w:hAnsi="Times New Roman"/>
          <w:sz w:val="26"/>
          <w:szCs w:val="26"/>
        </w:rPr>
        <w:t>», бюджет утвержден по доходам в сумме 2239,89 тыс.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рублей,</w:t>
      </w:r>
      <w:r>
        <w:rPr>
          <w:rFonts w:cs="Times New Roman" w:ascii="Times New Roman" w:hAnsi="Times New Roman"/>
          <w:sz w:val="26"/>
          <w:szCs w:val="26"/>
        </w:rPr>
        <w:t xml:space="preserve"> по расходам в сумме  1933,45 тыс.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рублей</w:t>
      </w:r>
      <w:r>
        <w:rPr>
          <w:rFonts w:cs="Times New Roman" w:ascii="Times New Roman" w:hAnsi="Times New Roman"/>
          <w:sz w:val="26"/>
          <w:szCs w:val="26"/>
        </w:rPr>
        <w:t xml:space="preserve">.   Профицит бюджета утвержден в сумме 306,44 тыс. рублей. </w:t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Основные параметры исполнения бюджета Курортного сельского поселения за 1 квартал 2018 года в сравнении с аналогичным периодом 2017 года приведены в следующей таблице: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360" w:type="dxa"/>
        <w:jc w:val="left"/>
        <w:tblInd w:w="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695"/>
        <w:gridCol w:w="1361"/>
        <w:gridCol w:w="1185"/>
        <w:gridCol w:w="795"/>
        <w:gridCol w:w="1305"/>
        <w:gridCol w:w="1200"/>
        <w:gridCol w:w="795"/>
        <w:gridCol w:w="1023"/>
      </w:tblGrid>
      <w:tr>
        <w:trPr>
          <w:trHeight w:val="900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% исполнения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01.04.2018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01.04.2018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% исполнения 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отклонение (гр.6 - гр.3)</w:t>
            </w:r>
          </w:p>
        </w:tc>
      </w:tr>
      <w:tr>
        <w:trPr>
          <w:trHeight w:val="57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1. Доходы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2150,08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289,92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13,5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2239,89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327,91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14,6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38,0</w:t>
            </w:r>
          </w:p>
        </w:tc>
      </w:tr>
      <w:tr>
        <w:trPr>
          <w:trHeight w:val="70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1269,08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112,56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8,9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1181,09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184,80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15,6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72,3</w:t>
            </w:r>
          </w:p>
        </w:tc>
      </w:tr>
      <w:tr>
        <w:trPr>
          <w:trHeight w:val="55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881,00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177,36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20,1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1058,80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143,11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13,5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-34,3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2. Расходы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2150,08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317,33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14,8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1933,45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405,30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21,0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88,0</w:t>
            </w:r>
          </w:p>
        </w:tc>
      </w:tr>
      <w:tr>
        <w:trPr>
          <w:trHeight w:val="92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-27,41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306,44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-77,39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х</w:t>
            </w:r>
          </w:p>
        </w:tc>
        <w:tc>
          <w:tcPr>
            <w:tcW w:w="1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-50,0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состоянию на 1 апреля 2018 года в бюджет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Курортного сельского поселения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поступило всего доходов в сумме 327,91 тыс. </w:t>
      </w:r>
      <w:r>
        <w:rPr>
          <w:rFonts w:cs="Times New Roman" w:ascii="Times New Roman" w:hAnsi="Times New Roman"/>
          <w:sz w:val="26"/>
          <w:szCs w:val="26"/>
        </w:rPr>
        <w:t>рублей или 14,6 процента от утвержденных годовых назначений (2 239,89 тыс. рублей), в том числе: налоговые и неналоговые доходы в сумме 184,80 тыс. рублей или 15,6 процента от плановых назначений; безвозмездные поступления составили 143,11 тыс. рублей или 13,5 процента от плановых назначений.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доходов по сравнению с аналогичным периодом прошлого года получено больше н</w:t>
      </w:r>
      <w:r>
        <w:rPr>
          <w:rFonts w:cs="Times New Roman" w:ascii="Times New Roman" w:hAnsi="Times New Roman"/>
          <w:sz w:val="26"/>
          <w:szCs w:val="26"/>
          <w:highlight w:val="white"/>
        </w:rPr>
        <w:t>а 38,0 тыс.</w:t>
      </w:r>
      <w:r>
        <w:rPr>
          <w:rFonts w:cs="Times New Roman" w:ascii="Times New Roman" w:hAnsi="Times New Roman"/>
          <w:sz w:val="26"/>
          <w:szCs w:val="26"/>
        </w:rPr>
        <w:t xml:space="preserve"> рублей, в том числе за счет налоговых и неналоговых доходов  на 72,3 тыс. рублей. Поступление  безвозмездных  поступлений снизилось на 34,3 тыс.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В общей сумме поступивших доходов по состоянию на 01.04.2018 года налоговые и неналоговые доходы составляют – 56,4 процента, безвозмездные поступления – 43,6 процента.</w:t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Курортного сельского поселения по доходам за 1 квартал 2018 года в сравнении с аналогичным периодом 2017 года приведено в Приложении № 1.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Н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алоговых и неналоговых доходов, за 1 квартал 2018 года поступило  184,8 тыс. рублей или 15,6 процента от годовых плановых назначений, что на 72,24 тыс. рублей больше, чем за аналогичный период прошлого года, на  увеличение повлияло поступление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  <w:lang w:eastAsia="ru-RU"/>
        </w:rPr>
        <w:t>д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eastAsia="ru-RU"/>
        </w:rPr>
        <w:t>оходов от использования имущества, находящегося в государственной и муниципальной собственности (в 1 квартале 2017 года поступления отсутствовали)</w:t>
      </w:r>
      <w:r>
        <w:rPr>
          <w:rFonts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структуры налоговых и неналоговых доходов бюджета Курортного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</w:t>
      </w:r>
      <w:r>
        <w:rPr>
          <w:rFonts w:cs="Times New Roman" w:ascii="Times New Roman" w:hAnsi="Times New Roman"/>
          <w:sz w:val="26"/>
          <w:szCs w:val="26"/>
        </w:rPr>
        <w:t xml:space="preserve">по основным видам и группам налогов показал, что наибольший удельный вес в общем объеме поступивших доходов бюджета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приходится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оходы от использования имущества, находящегося в государственной и муниципальной собственности </w:t>
      </w:r>
      <w:r>
        <w:rPr>
          <w:rFonts w:cs="Times New Roman" w:ascii="Times New Roman" w:hAnsi="Times New Roman"/>
          <w:sz w:val="26"/>
          <w:szCs w:val="26"/>
          <w:highlight w:val="white"/>
        </w:rPr>
        <w:t>— 32,0 процента, или 56,8 процента в общем объеме налоговых и неналоговых доходов бюджета</w:t>
      </w:r>
      <w:r>
        <w:rPr>
          <w:rFonts w:cs="Times New Roman" w:ascii="Times New Roman" w:hAnsi="Times New Roman"/>
          <w:sz w:val="26"/>
          <w:szCs w:val="26"/>
        </w:rPr>
        <w:t xml:space="preserve">. В      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1 квартале 2017 года  наибольший удельный вес составляли налоги на доходы физических лиц - 20,5 процента, или  52,8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процента в общем объеме налоговых и неналоговых доходов бюджета</w:t>
      </w:r>
      <w:r>
        <w:rPr>
          <w:rFonts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Поступления налогов на имущество в сравнении с 1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кварталом 2017 года снизились на 46,45 тыс. рублей, или на 87,3 процента и составили 6,73 тыс.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Налоги на доходы физических лиц </w:t>
      </w:r>
      <w:bookmarkStart w:id="1" w:name="__DdeLink__3118_805788400"/>
      <w:r>
        <w:rPr>
          <w:rFonts w:cs="Times New Roman" w:ascii="Times New Roman" w:hAnsi="Times New Roman"/>
          <w:sz w:val="26"/>
          <w:szCs w:val="26"/>
        </w:rPr>
        <w:t>составляют 18,8 процента от общей суммы доходов бюджета, или 14,7 процент</w:t>
      </w:r>
      <w:bookmarkEnd w:id="1"/>
      <w:r>
        <w:rPr>
          <w:rFonts w:cs="Times New Roman" w:ascii="Times New Roman" w:hAnsi="Times New Roman"/>
          <w:sz w:val="26"/>
          <w:szCs w:val="26"/>
        </w:rPr>
        <w:t>а от плановых назначений.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оходы от оказания платных услуг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составили 11,52 тыс. рублей или 3,5 процента от общей суммы доходов бюджета, в аналогичн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ом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период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е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прошлого года, поступления отсутствовали. Доходы  от оказания платных услуг на 2018 год не планировались,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причины отклонений в пояснительной записке не отражены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.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долю безвозмездных поступлений приходится 43,6 процента в общем объеме доходов, поступивших в бюджет по состоянию на 1 апреля 2018 года, сумма поступлений составила 143,11 тыс. рублей или 13,5 процента от плановых назначений. Общий объем безвозмездных поступлений по сравнению с аналогичным периодом прошлого года снизился на 34,25 тыс.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Расходы</w:t>
      </w:r>
      <w:r>
        <w:rPr>
          <w:rFonts w:cs="Times New Roman" w:ascii="Times New Roman" w:hAnsi="Times New Roman"/>
          <w:sz w:val="26"/>
          <w:szCs w:val="26"/>
        </w:rPr>
        <w:t xml:space="preserve"> бюджета Курортного сельского поселения по состоянию на 01.04.2018 года составили 405,30 тыс. рублей или 20,96 процента от утвержденных бюджетных назначений на 2018 год. По сравнению с исполнением бюджета за 1 квартал прошлого года,  расходы Курортного сельского поселения увеличились на 87,97 тыс. рублей.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Анализ исполнения расходов за 1 квартал 2018года по разделам функциональной классификации  расходов приведен в следующей  таблице: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W w:w="940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461"/>
        <w:gridCol w:w="839"/>
        <w:gridCol w:w="1074"/>
        <w:gridCol w:w="1011"/>
        <w:gridCol w:w="980"/>
        <w:gridCol w:w="932"/>
        <w:gridCol w:w="1107"/>
      </w:tblGrid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Наименование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01.04.2017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01.04.2018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Отклонения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Общегосударственные расходы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298,48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361,62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63,14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11,60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10,76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-0,84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bookmarkStart w:id="2" w:name="__DdeLink__1687_738448995"/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Национальная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  <w:t xml:space="preserve"> </w:t>
            </w:r>
            <w:bookmarkEnd w:id="2"/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  <w:t>безопасность и правоохранительную деятельность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5,25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1,6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5,40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0,15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25,52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25,52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>
        <w:trPr/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Расходы всего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317,33</w:t>
            </w:r>
          </w:p>
        </w:tc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405,30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87,97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данным анализом  наибольший удельный вес в структуре расходов за 1 квартал 2018 года занимают общегосударственные вопросы – 89,2 процента. В аналогичном периоде 2017 года наибольший удельный вес так же занимали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общегосударственные вопросы</w:t>
      </w:r>
      <w:r>
        <w:rPr>
          <w:rFonts w:cs="Times New Roman" w:ascii="Times New Roman" w:hAnsi="Times New Roman"/>
          <w:sz w:val="26"/>
          <w:szCs w:val="26"/>
        </w:rPr>
        <w:t xml:space="preserve"> – 94,1 процента.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общем объеме расходов за 1 квартал 2018года </w:t>
      </w:r>
      <w:r>
        <w:rPr>
          <w:rFonts w:cs="Times New Roman" w:ascii="Times New Roman" w:hAnsi="Times New Roman"/>
          <w:sz w:val="26"/>
          <w:szCs w:val="26"/>
        </w:rPr>
        <w:t xml:space="preserve"> расходы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оборону</w:t>
      </w:r>
      <w:r>
        <w:rPr>
          <w:rFonts w:cs="Times New Roman" w:ascii="Times New Roman" w:hAnsi="Times New Roman"/>
          <w:sz w:val="26"/>
          <w:szCs w:val="26"/>
        </w:rPr>
        <w:t xml:space="preserve"> – 2,7 процента,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ую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 безопасность и правоохранительную деятельность</w:t>
      </w:r>
      <w:r>
        <w:rPr>
          <w:rFonts w:cs="Times New Roman" w:ascii="Times New Roman" w:hAnsi="Times New Roman"/>
          <w:sz w:val="26"/>
          <w:szCs w:val="26"/>
        </w:rPr>
        <w:t xml:space="preserve"> – 1,3 процента, на ж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илищно-коммунальное хозяйство — 6,3 процента, на культуру и кинематографию составили 0,5 процента</w:t>
      </w:r>
      <w:r>
        <w:rPr>
          <w:rFonts w:cs="Times New Roman" w:ascii="Times New Roman" w:hAnsi="Times New Roman"/>
          <w:sz w:val="26"/>
          <w:szCs w:val="26"/>
        </w:rPr>
        <w:t xml:space="preserve">.  </w:t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Анализ исполнение бюджета Курортного сельского поселения по расходам за 1 квартал 2018 года по разделам, подразделам бюджетной классификации в сравнении с аналогичным периодом 2017 года, приведены в Приложение № 2.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среднем уровне исполнения плановых назначений по расходам в размере 20,96 процента, уровень исполнения по разделам сложился от 13,2 процента («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Национальная оборона</w:t>
      </w:r>
      <w:r>
        <w:rPr>
          <w:rFonts w:cs="Times New Roman" w:ascii="Times New Roman" w:hAnsi="Times New Roman"/>
          <w:sz w:val="26"/>
          <w:szCs w:val="26"/>
          <w:highlight w:val="white"/>
        </w:rPr>
        <w:t>») до 50,6 процента («Ж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илищно - коммунальное хозяйство</w:t>
      </w:r>
      <w:r>
        <w:rPr>
          <w:rFonts w:cs="Times New Roman" w:ascii="Times New Roman" w:hAnsi="Times New Roman"/>
          <w:sz w:val="26"/>
          <w:szCs w:val="26"/>
          <w:highlight w:val="white"/>
        </w:rPr>
        <w:t>»).</w:t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анализе исполнения бюджета по расходам в 1 квартале 2018 года объем расходования средств увеличился в сравнении с аналогичным периодом прошлого года.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Наибольшее увеличение расходов в сравнении с аналогичным периодом прошлого года, сложилось по разделу «О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бщегосударственные вопросы</w:t>
      </w:r>
      <w:r>
        <w:rPr>
          <w:rFonts w:cs="Times New Roman" w:ascii="Times New Roman" w:hAnsi="Times New Roman"/>
          <w:sz w:val="26"/>
          <w:szCs w:val="26"/>
          <w:highlight w:val="white"/>
        </w:rPr>
        <w:t>» подраздел «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Ф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 на сумму 46,57 тыс. рублей. 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ab/>
        <w:t xml:space="preserve">Исполнение бюджета Курортного сельского поселения за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квартал 2018 года в разрезе сгруппированных по видам расходов представлено ниже: </w:t>
      </w:r>
    </w:p>
    <w:p>
      <w:pPr>
        <w:pStyle w:val="ListParagraph"/>
        <w:spacing w:lineRule="auto" w:line="240" w:before="0" w:after="0"/>
        <w:ind w:left="0" w:right="0" w:firstLine="737"/>
        <w:contextualSpacing/>
        <w:jc w:val="right"/>
        <w:rPr/>
      </w:pPr>
      <w:r>
        <w:rPr>
          <w:rFonts w:cs="Times New Roman" w:ascii="Times New Roman" w:hAnsi="Times New Roman"/>
          <w:sz w:val="18"/>
          <w:szCs w:val="18"/>
          <w:highlight w:val="white"/>
        </w:rPr>
        <w:t>тыс. рублей</w:t>
      </w:r>
    </w:p>
    <w:tbl>
      <w:tblPr>
        <w:tblW w:w="9360" w:type="dxa"/>
        <w:jc w:val="left"/>
        <w:tblInd w:w="7" w:type="dxa"/>
        <w:tblBorders>
          <w:top w:val="single" w:sz="2" w:space="0" w:color="00000A"/>
          <w:left w:val="single" w:sz="2" w:space="0" w:color="00000A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892"/>
        <w:gridCol w:w="3355"/>
        <w:gridCol w:w="1122"/>
        <w:gridCol w:w="1069"/>
        <w:gridCol w:w="1082"/>
        <w:gridCol w:w="918"/>
        <w:gridCol w:w="921"/>
      </w:tblGrid>
      <w:tr>
        <w:trPr>
          <w:trHeight w:val="79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Группы видов расходов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Утверждено на 01.04.2018г.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Исполнение за 1 квартал 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% исполнения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1497,82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77,5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287,25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19,2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275,55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14,2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108,12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39,2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69,70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3,6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4,20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6,0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800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90,38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4,7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5,74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6,3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1933,45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405,30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20,96</w:t>
            </w:r>
          </w:p>
        </w:tc>
      </w:tr>
    </w:tbl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Анализ данных показывает, что исполнение бюджета в анализируемом периоде в разрезе видов расходов, ниже квартальных значений (25%), за исключением з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акупки товаров, работ и услуг для муниципальных нужд (39,2 %)</w:t>
      </w:r>
      <w:r>
        <w:rPr>
          <w:rFonts w:cs="Times New Roman" w:ascii="Times New Roman" w:hAnsi="Times New Roman"/>
          <w:sz w:val="26"/>
          <w:szCs w:val="26"/>
          <w:highlight w:val="white"/>
        </w:rPr>
        <w:t>. Наибольшую долю в общих расходах занимают р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асходы на выплаты персоналу 70,9 процента, в аналогичном периоде прошлого года наибольшую долю также занимали расходы на выплаты персоналу (77,5 %).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итогам 1 квартала 2018 года бюджет Курортного сельского поселения исполнен с дефицитом в сумме  77,39 тыс.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Муниципальный долг Курортного сельского поселения на 01.04.2018 года отсутствует.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3. Анализ бухгалтерской отчетности.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Отчет об исполнении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Курортного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Согласно Сведениям по дебиторской и кредиторской задолженности (ф.0503169) дебиторская задолженность на 01.04.2018 года по сравнению с данными на 01.01.2018 года,  возросла на 35,66 тыс. рублей и составила 475,97 тыс. рублей, просроченная дебиторская задолженность увеличилась на 33,16 тыс. рублей и составила 413,59. В сравнении с аналогичным периодом прошлого года дебиторская задолженность увеличилась на 27,2 %.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Кредиторская задолженность на 01.04.2018 года составила 171,66 тыс. рублей, на 01.01.2018 года задолженность составляла 232,51 тыс. рублей кредиторская задолженность снизилась на 60,85 тыс. рублей. В сравнении с аналогичным периодом прошлого года кредиторская задолженность снизилась на 4,8 %.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397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eastAsia="ru-RU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В ходе анализа проверено соблюдение общих требований по составлению и формированию бюджетной отчетности, установленных вышеуказанной инструкцией. Нарушений не установлено.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сверке показателей о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тчета за 1 квартал 2018 года (форма 0503117) с </w:t>
      </w:r>
      <w:r>
        <w:rPr>
          <w:rFonts w:cs="Times New Roman" w:ascii="Times New Roman" w:hAnsi="Times New Roman"/>
          <w:sz w:val="26"/>
          <w:szCs w:val="26"/>
          <w:highlight w:val="white"/>
        </w:rPr>
        <w:t>показателями отчета по поступлениям и выбытию (форма 0503151), представленным Управлением Федерального казначейства по Республике Карелия, по состоянию на 01.04.2018 года, расхождений не установлено.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Замечаний и недостатков, допущенных при формировании бюджетной отчетности, повлиявших на ее достоверность  не установлено.</w:t>
      </w:r>
    </w:p>
    <w:p>
      <w:pPr>
        <w:pStyle w:val="Standard"/>
        <w:spacing w:lineRule="auto" w:line="276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andard"/>
        <w:spacing w:lineRule="auto" w:line="276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6"/>
          <w:szCs w:val="26"/>
        </w:rPr>
        <w:t>Выводы: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 результатам проверки отчёта об исполнении бюджета Курортного сельского поселения за 1 квартал 2018 года Контрольно-счётный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считает, что отчёт об исполнении бюджета Курортного сельского поселения в представленном виде является  достоверным</w:t>
      </w:r>
      <w:r>
        <w:rPr>
          <w:rStyle w:val="Style17"/>
          <w:rFonts w:ascii="Times New Roman" w:hAnsi="Times New Roman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>Представленный отчет соответствует нормам действующего законодательства.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 xml:space="preserve">Отчет об исполнении бюджета Курортного сельского поселения за 1 квартал 2018 года опубликован в </w:t>
      </w:r>
      <w:r>
        <w:rPr>
          <w:rStyle w:val="Style17"/>
          <w:rFonts w:cs="Times New Roman" w:ascii="Times New Roman" w:hAnsi="Times New Roman"/>
          <w:sz w:val="26"/>
          <w:szCs w:val="26"/>
          <w:lang w:val="ru-RU" w:eastAsia="ru-RU"/>
        </w:rPr>
        <w:t xml:space="preserve">периодическом печатном издании. </w:t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76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Предлагаемые представления и /или предписания: </w:t>
      </w:r>
      <w:r>
        <w:rPr>
          <w:rFonts w:cs="Times New Roman" w:ascii="Times New Roman" w:hAnsi="Times New Roman"/>
          <w:bCs/>
          <w:sz w:val="26"/>
          <w:szCs w:val="26"/>
        </w:rPr>
        <w:t>нет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76" w:before="0" w:after="46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Направить Анализ отчета об исполнении бюджета </w:t>
      </w:r>
      <w:r>
        <w:rPr>
          <w:rFonts w:cs="Times New Roman" w:ascii="Times New Roman" w:hAnsi="Times New Roman"/>
          <w:iCs/>
          <w:sz w:val="26"/>
          <w:szCs w:val="26"/>
          <w:highlight w:val="white"/>
          <w:lang w:eastAsia="ru-RU"/>
        </w:rPr>
        <w:t>Курортного сельского поселения</w:t>
      </w:r>
      <w:r>
        <w:rPr>
          <w:rFonts w:ascii="Times New Roman" w:hAnsi="Times New Roman"/>
          <w:sz w:val="26"/>
          <w:szCs w:val="26"/>
        </w:rPr>
        <w:t xml:space="preserve"> за 1 квартал 2018года в адрес:</w:t>
      </w:r>
    </w:p>
    <w:p>
      <w:pPr>
        <w:pStyle w:val="Normal"/>
        <w:bidi w:val="0"/>
        <w:spacing w:lineRule="auto" w:line="276" w:before="113" w:after="45"/>
        <w:ind w:left="0" w:right="0"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cs="Times New Roman" w:ascii="Times New Roman" w:hAnsi="Times New Roman"/>
          <w:iCs/>
          <w:sz w:val="26"/>
          <w:szCs w:val="26"/>
          <w:highlight w:val="white"/>
          <w:lang w:eastAsia="ru-RU"/>
        </w:rPr>
        <w:t>Курортного сельского поселения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.</w:t>
      </w:r>
    </w:p>
    <w:p>
      <w:pPr>
        <w:pStyle w:val="Normal"/>
        <w:spacing w:lineRule="auto" w:line="276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Председатель Контрольно-счетного органа</w:t>
      </w:r>
    </w:p>
    <w:p>
      <w:pPr>
        <w:pStyle w:val="Normal"/>
        <w:spacing w:lineRule="auto" w:line="276" w:before="0" w:after="4"/>
        <w:ind w:left="0"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bookmarkStart w:id="3" w:name="__DdeLink__505_405936742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bookmarkEnd w:id="3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    Е.А. Горошкина                   </w:t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Инспектор Контрольно-счетного органа</w:t>
      </w:r>
    </w:p>
    <w:p>
      <w:pPr>
        <w:pStyle w:val="Normal"/>
        <w:spacing w:lineRule="auto" w:line="276" w:before="0" w:after="4"/>
        <w:ind w:left="0"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                                              И.В. Демидова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1134" w:top="1460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5">
    <w:name w:val="Верхний колонтитул Знак"/>
    <w:basedOn w:val="DefaultParagraphFont"/>
    <w:qFormat/>
    <w:rPr>
      <w:rFonts w:cs="Times New Roman"/>
    </w:rPr>
  </w:style>
  <w:style w:type="character" w:styleId="Style16">
    <w:name w:val="Нижний колонтитул Знак"/>
    <w:basedOn w:val="DefaultParagraphFont"/>
    <w:qFormat/>
    <w:rPr>
      <w:rFonts w:cs="Times New Roman"/>
    </w:rPr>
  </w:style>
  <w:style w:type="character" w:styleId="Style17">
    <w:name w:val="Основной текст Знак"/>
    <w:qFormat/>
    <w:rPr>
      <w:sz w:val="23"/>
      <w:highlight w:val="white"/>
    </w:rPr>
  </w:style>
  <w:style w:type="character" w:styleId="ListLabel14">
    <w:name w:val="ListLabel 14"/>
    <w:qFormat/>
    <w:rPr>
      <w:sz w:val="28"/>
    </w:rPr>
  </w:style>
  <w:style w:type="character" w:styleId="Style18">
    <w:name w:val="Символ нумерации"/>
    <w:qFormat/>
    <w:rPr/>
  </w:style>
  <w:style w:type="character" w:styleId="BodyTextChar">
    <w:name w:val="Body Text Char"/>
    <w:basedOn w:val="DefaultParagraphFont"/>
    <w:qFormat/>
    <w:rPr>
      <w:rFonts w:cs="Times New Roman"/>
      <w:color w:val="00000A"/>
      <w:lang w:eastAsia="en-US"/>
    </w:rPr>
  </w:style>
  <w:style w:type="character" w:styleId="BalloonTextChar">
    <w:name w:val="Balloon Text Char"/>
    <w:basedOn w:val="DefaultParagraphFont"/>
    <w:qFormat/>
    <w:rPr>
      <w:rFonts w:ascii="Times New Roman" w:hAnsi="Times New Roman" w:cs="Times New Roman"/>
      <w:color w:val="00000A"/>
      <w:sz w:val="2"/>
      <w:lang w:eastAsia="en-US"/>
    </w:rPr>
  </w:style>
  <w:style w:type="character" w:styleId="HeaderChar">
    <w:name w:val="Header Char"/>
    <w:basedOn w:val="DefaultParagraphFont"/>
    <w:qFormat/>
    <w:rPr>
      <w:rFonts w:cs="Times New Roman"/>
      <w:color w:val="00000A"/>
      <w:lang w:eastAsia="en-US"/>
    </w:rPr>
  </w:style>
  <w:style w:type="character" w:styleId="FooterChar">
    <w:name w:val="Footer Char"/>
    <w:basedOn w:val="DefaultParagraphFont"/>
    <w:qFormat/>
    <w:rPr>
      <w:rFonts w:cs="Times New Roman"/>
      <w:color w:val="00000A"/>
      <w:lang w:eastAsia="en-US"/>
    </w:rPr>
  </w:style>
  <w:style w:type="character" w:styleId="SubtitleChar">
    <w:name w:val="Subtitle Char"/>
    <w:basedOn w:val="DefaultParagraphFont"/>
    <w:qFormat/>
    <w:rPr>
      <w:rFonts w:ascii="Cambria" w:hAnsi="Cambria" w:eastAsia="Times New Roman" w:cs="Cambria"/>
      <w:color w:val="00000A"/>
      <w:sz w:val="24"/>
      <w:szCs w:val="24"/>
      <w:lang w:eastAsia="en-US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/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/>
  </w:style>
  <w:style w:type="character" w:styleId="ListLabel26">
    <w:name w:val="ListLabel 26"/>
    <w:qFormat/>
    <w:rPr/>
  </w:style>
  <w:style w:type="character" w:styleId="ListLabel27">
    <w:name w:val="ListLabel 27"/>
    <w:qFormat/>
    <w:rPr/>
  </w:style>
  <w:style w:type="character" w:styleId="ListLabel28">
    <w:name w:val="ListLabel 28"/>
    <w:qFormat/>
    <w:rPr/>
  </w:style>
  <w:style w:type="character" w:styleId="ListLabel29">
    <w:name w:val="ListLabel 29"/>
    <w:qFormat/>
    <w:rPr/>
  </w:style>
  <w:style w:type="character" w:styleId="ListLabel30">
    <w:name w:val="ListLabel 30"/>
    <w:qFormat/>
    <w:rPr/>
  </w:style>
  <w:style w:type="character" w:styleId="ListLabel31">
    <w:name w:val="ListLabel 31"/>
    <w:qFormat/>
    <w:rPr/>
  </w:style>
  <w:style w:type="character" w:styleId="ListLabel32">
    <w:name w:val="ListLabel 32"/>
    <w:qFormat/>
    <w:rPr/>
  </w:style>
  <w:style w:type="character" w:styleId="ListLabel33">
    <w:name w:val="ListLabel 33"/>
    <w:qFormat/>
    <w:rPr/>
  </w:style>
  <w:style w:type="character" w:styleId="ListLabel34">
    <w:name w:val="ListLabel 34"/>
    <w:qFormat/>
    <w:rPr/>
  </w:style>
  <w:style w:type="character" w:styleId="ListLabel35">
    <w:name w:val="ListLabel 35"/>
    <w:qFormat/>
    <w:rPr/>
  </w:style>
  <w:style w:type="character" w:styleId="ListLabel36">
    <w:name w:val="ListLabel 36"/>
    <w:qFormat/>
    <w:rPr/>
  </w:style>
  <w:style w:type="character" w:styleId="ListLabel37">
    <w:name w:val="ListLabel 37"/>
    <w:qFormat/>
    <w:rPr/>
  </w:style>
  <w:style w:type="character" w:styleId="ListLabel38">
    <w:name w:val="ListLabel 38"/>
    <w:qFormat/>
    <w:rPr/>
  </w:style>
  <w:style w:type="character" w:styleId="ListLabel39">
    <w:name w:val="ListLabel 39"/>
    <w:qFormat/>
    <w:rPr/>
  </w:style>
  <w:style w:type="character" w:styleId="ListLabel40">
    <w:name w:val="ListLabel 40"/>
    <w:qFormat/>
    <w:rPr/>
  </w:style>
  <w:style w:type="character" w:styleId="ListLabel41">
    <w:name w:val="ListLabel 41"/>
    <w:qFormat/>
    <w:rPr/>
  </w:style>
  <w:style w:type="character" w:styleId="BodyTextChar1">
    <w:name w:val="Body Text Char1"/>
    <w:basedOn w:val="DefaultParagraphFont"/>
    <w:qFormat/>
    <w:rPr>
      <w:color w:val="00000A"/>
      <w:lang w:eastAsia="en-US"/>
    </w:rPr>
  </w:style>
  <w:style w:type="character" w:styleId="BalloonTextChar1">
    <w:name w:val="Balloon Text Char1"/>
    <w:basedOn w:val="DefaultParagraphFont"/>
    <w:qFormat/>
    <w:rPr>
      <w:rFonts w:ascii="Times New Roman" w:hAnsi="Times New Roman"/>
      <w:color w:val="00000A"/>
      <w:sz w:val="2"/>
      <w:szCs w:val="2"/>
      <w:lang w:eastAsia="en-US"/>
    </w:rPr>
  </w:style>
  <w:style w:type="character" w:styleId="HeaderChar1">
    <w:name w:val="Header Char1"/>
    <w:basedOn w:val="DefaultParagraphFont"/>
    <w:qFormat/>
    <w:rPr>
      <w:color w:val="00000A"/>
      <w:lang w:eastAsia="en-US"/>
    </w:rPr>
  </w:style>
  <w:style w:type="character" w:styleId="FooterChar1">
    <w:name w:val="Footer Char1"/>
    <w:basedOn w:val="DefaultParagraphFont"/>
    <w:qFormat/>
    <w:rPr>
      <w:color w:val="00000A"/>
      <w:lang w:eastAsia="en-US"/>
    </w:rPr>
  </w:style>
  <w:style w:type="character" w:styleId="SubtitleChar1">
    <w:name w:val="Subtitle Char1"/>
    <w:basedOn w:val="DefaultParagraphFont"/>
    <w:qFormat/>
    <w:rPr>
      <w:rFonts w:ascii="Cambria" w:hAnsi="Cambria" w:eastAsia="Calibri" w:cs="Tahoma"/>
      <w:color w:val="00000A"/>
      <w:sz w:val="24"/>
      <w:szCs w:val="24"/>
      <w:lang w:eastAsia="en-US"/>
    </w:rPr>
  </w:style>
  <w:style w:type="character" w:styleId="ListLabel42">
    <w:name w:val="ListLabel 42"/>
    <w:qFormat/>
    <w:rPr>
      <w:rFonts w:cs="Times New Roman"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sz w:val="22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sz w:val="22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z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  <w:sz w:val="22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sz w:val="22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2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sz w:val="2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2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95">
    <w:name w:val="ListLabel 195"/>
    <w:qFormat/>
    <w:rPr>
      <w:rFonts w:cs="Times New Roman"/>
      <w:sz w:val="22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  <w:sz w:val="22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  <w:sz w:val="22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2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  <w:sz w:val="22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2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  <w:sz w:val="22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sz w:val="22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  <w:sz w:val="22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  <w:sz w:val="22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  <w:sz w:val="22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  <w:sz w:val="22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2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  <w:sz w:val="22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  <w:sz w:val="22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  <w:sz w:val="22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2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2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2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2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  <w:sz w:val="22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  <w:sz w:val="22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qFormat/>
    <w:pPr>
      <w:ind w:left="220" w:right="0" w:hanging="220"/>
    </w:pPr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Style25">
    <w:name w:val="Знак Знак Знак Знак Знак Знак Знак Знак Знак Знак"/>
    <w:basedOn w:val="Normal"/>
    <w:qFormat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/>
      <w:overflowPunct w:val="true"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kern w:val="0"/>
      <w:sz w:val="24"/>
      <w:szCs w:val="24"/>
      <w:lang w:val="ru-RU" w:eastAsia="zh-CN" w:bidi="ar-SA"/>
    </w:rPr>
  </w:style>
  <w:style w:type="paragraph" w:styleId="Style30">
    <w:name w:val="Subtitle"/>
    <w:basedOn w:val="Normal"/>
    <w:qFormat/>
    <w:pPr>
      <w:spacing w:lineRule="auto" w:line="240" w:before="0" w:after="240"/>
    </w:pPr>
    <w:rPr>
      <w:rFonts w:ascii="Cambria" w:hAnsi="Cambria" w:cs="Mangal"/>
      <w:color w:val="404040"/>
      <w:sz w:val="30"/>
      <w:szCs w:val="3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3139</TotalTime>
  <Application>LibreOffice/5.4.4.2$Windows_x86 LibreOffice_project/2524958677847fb3bb44820e40380acbe820f960</Application>
  <Pages>7</Pages>
  <Words>1824</Words>
  <Characters>11894</Characters>
  <CharactersWithSpaces>13865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2015-06-01T04:12:00Z</dcterms:created>
  <dc:creator>User</dc:creator>
  <dc:description/>
  <dc:language>ru-RU</dc:language>
  <cp:lastModifiedBy/>
  <cp:lastPrinted>2018-07-19T09:46:14Z</cp:lastPrinted>
  <dcterms:modified xsi:type="dcterms:W3CDTF">2018-07-19T09:48:29Z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