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/>
      </w:pPr>
      <w:r>
        <w:rPr/>
        <w:object>
          <v:shape id="ole_rId2" style="width:56.95pt;height:74.4pt" o:ole="">
            <v:imagedata r:id="rId3" o:title=""/>
          </v:shape>
          <o:OLEObject Type="Embed" ProgID="" ShapeID="ole_rId2" DrawAspect="Content" ObjectID="_993428554" r:id="rId2"/>
        </w:object>
      </w:r>
    </w:p>
    <w:p>
      <w:pPr>
        <w:pStyle w:val="Style30"/>
        <w:spacing w:lineRule="auto" w:line="240" w:before="0" w:after="6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Республика Карелия</w:t>
      </w:r>
    </w:p>
    <w:p>
      <w:pPr>
        <w:pStyle w:val="Style30"/>
        <w:spacing w:lineRule="auto" w:line="240" w:before="0" w:after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Контрольно-счетный орган</w:t>
      </w:r>
    </w:p>
    <w:p>
      <w:pPr>
        <w:pStyle w:val="NoSpacing"/>
        <w:spacing w:lineRule="auto" w:line="276" w:before="0" w:after="0"/>
        <w:ind w:firstLine="709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highlight w:val="white"/>
          <w:lang w:eastAsia="ru-RU"/>
        </w:rPr>
        <w:t>Кондопожского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ЗАКЛЮЧЕНИЕ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анализу отчета об исполнении бюджета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4"/>
          <w:lang w:eastAsia="ru-RU"/>
        </w:rPr>
        <w:t>Петровского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1 квартал 2018 года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17  июля 2018 год                                                                                                        № 62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отчета об исполнении бюджета Петровского сельского поселения за </w:t>
      </w:r>
      <w:r>
        <w:rPr>
          <w:rFonts w:cs="Times New Roman" w:ascii="Times New Roman" w:hAnsi="Times New Roman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</w:rPr>
        <w:t xml:space="preserve"> квартал 2018 года подготовлен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в соответствии с Бюджетным Кодексом Российской Федерации,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cs="Times New Roman" w:ascii="Times New Roman" w:hAnsi="Times New Roman"/>
          <w:sz w:val="26"/>
          <w:szCs w:val="26"/>
          <w:highlight w:val="white"/>
        </w:rPr>
        <w:t>Решением Совета Кондопожского муниципального района от 18 марта 2015г. № 3 «Об образовании Контрольно-счетного органа Кондопожского муниципального района и утвержденным Положением о Контрольно-счетном органе Кондопожского муниципального района»</w:t>
      </w:r>
      <w:r>
        <w:rPr>
          <w:rFonts w:cs="Times New Roman" w:ascii="Times New Roman" w:hAnsi="Times New Roman"/>
          <w:sz w:val="26"/>
          <w:szCs w:val="26"/>
        </w:rPr>
        <w:t xml:space="preserve">, </w:t>
      </w:r>
      <w:r>
        <w:rPr>
          <w:rFonts w:cs="Times New Roman" w:ascii="Times New Roman" w:hAnsi="Times New Roman"/>
          <w:color w:val="052635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Положением о бюджетном процессе </w:t>
      </w:r>
      <w:bookmarkStart w:id="0" w:name="__DdeLink__725_1732684616"/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П</w:t>
      </w:r>
      <w:bookmarkEnd w:id="0"/>
      <w:r>
        <w:rPr>
          <w:rFonts w:cs="Times New Roman" w:ascii="Times New Roman" w:hAnsi="Times New Roman"/>
          <w:color w:val="000000"/>
          <w:sz w:val="26"/>
          <w:szCs w:val="26"/>
          <w:lang w:val="ru-RU"/>
        </w:rPr>
        <w:t>етровском сельском поселении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  <w:lang w:val="ru-RU"/>
        </w:rPr>
        <w:t>,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оглашением б/н от 27.12.2017года «О передаче Контрольно-счетному органу 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полномочий контрольно-счетного органа Петровского сельского поселения по осуществлению внешнего муниципального финансового контроля», </w:t>
      </w:r>
      <w:r>
        <w:rPr>
          <w:rFonts w:cs="Times New Roman" w:ascii="Times New Roman" w:hAnsi="Times New Roman"/>
          <w:sz w:val="26"/>
          <w:szCs w:val="26"/>
        </w:rPr>
        <w:t xml:space="preserve">пунктом 1.16. плана работы Контрольно-счетного органа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</w:rPr>
        <w:t xml:space="preserve">на 2018 год.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1. Общие сведения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поступления и фактического расходования бюджетных средств Петровского сельского поселения использовались  данные отчета об исполнении бюджета Петровского сельского поселения 1 квартал 2018 года, за 1 квартал 2017 года;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информация Управления Федерального казначейства по Республике Карелия, полученная в рамках Соглашения «Об информационном взаимодействии между Управлением Федерального казначейства по Республике Карелия и Контрольно-счетным органом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Кондопожского муниципального района </w:t>
      </w:r>
      <w:r>
        <w:rPr>
          <w:rFonts w:cs="Times New Roman" w:ascii="Times New Roman" w:hAnsi="Times New Roman"/>
          <w:sz w:val="26"/>
          <w:szCs w:val="26"/>
          <w:lang w:eastAsia="ru-RU"/>
        </w:rPr>
        <w:t>от 29.03.2018 года; документы, размещенные в источниках официального опубликования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76" w:before="0" w:after="0"/>
        <w:ind w:firstLine="54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со статьей 264.2. Бюджетного Кодекса Российской Федерации (далее – Бюджетный кодекс РФ)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Отчет об исполнении бюджета Петровского сельского поселения за 1 квартал 2018 года утвержден Постановлением Администрации Петровского сельского поселения от 18.06.2018 № 37 (далее – отчет за 1 квартал 2018 года) и представлен в Контрольно-счетный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 20.06.2018 года.</w:t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Статьей 36 Бюджетного кодекса РФ установлено обязательное опубликование в средствах массовой информации утвержденных бюджетов и отчетов об их исполнении. </w:t>
      </w:r>
    </w:p>
    <w:p>
      <w:pPr>
        <w:pStyle w:val="Normal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Согласно п. 8 ст. 38 Устава Петровского сельского поселения, и</w:t>
      </w:r>
      <w:r>
        <w:rPr>
          <w:rFonts w:cs="Times New Roman" w:ascii="Times New Roman" w:hAnsi="Times New Roman"/>
          <w:sz w:val="26"/>
          <w:szCs w:val="28"/>
          <w:highlight w:val="white"/>
        </w:rPr>
        <w:t xml:space="preserve">сточником официального опубликования муниципальных правовых актов является периодическое печатное издание, определяемое Советом </w:t>
      </w:r>
      <w:r>
        <w:rPr>
          <w:rFonts w:cs="Times New Roman" w:ascii="Times New Roman" w:hAnsi="Times New Roman"/>
          <w:sz w:val="26"/>
          <w:szCs w:val="26"/>
          <w:highlight w:val="white"/>
        </w:rPr>
        <w:t>Петровского сельского поселения</w:t>
      </w:r>
      <w:r>
        <w:rPr>
          <w:rFonts w:cs="Times New Roman" w:ascii="Times New Roman" w:hAnsi="Times New Roman"/>
          <w:sz w:val="26"/>
          <w:szCs w:val="28"/>
          <w:highlight w:val="white"/>
        </w:rPr>
        <w:t>.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С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рок официального опубликования ежеквартальных сведений о ходе исполнения бюджета Петровского сельского поселения не установлен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. </w:t>
      </w:r>
    </w:p>
    <w:p>
      <w:pPr>
        <w:pStyle w:val="Normal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Решением Совета  Петровского сельского поселения от 11.03.2010 года № 2 6 сессии 2 созыва учрежден официальный информационный бюллетень </w:t>
      </w:r>
      <w:bookmarkStart w:id="1" w:name="__DdeLink__716_703368539"/>
      <w:r>
        <w:rPr>
          <w:rFonts w:cs="Times New Roman" w:ascii="Times New Roman" w:hAnsi="Times New Roman"/>
          <w:sz w:val="26"/>
          <w:szCs w:val="26"/>
          <w:lang w:eastAsia="ru-RU"/>
        </w:rPr>
        <w:t>«Вестник Петровского сельского поселения»</w:t>
      </w:r>
      <w:bookmarkEnd w:id="1"/>
      <w:r>
        <w:rPr>
          <w:rFonts w:cs="Times New Roman" w:ascii="Times New Roman" w:hAnsi="Times New Roman"/>
          <w:sz w:val="26"/>
          <w:szCs w:val="26"/>
          <w:lang w:val="ru-RU" w:eastAsia="ru-RU"/>
        </w:rPr>
        <w:t>.</w:t>
      </w:r>
    </w:p>
    <w:p>
      <w:pPr>
        <w:pStyle w:val="Normal"/>
        <w:bidi w:val="0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На момент проведения данного экспертно-аналитического мероприятия отчет за 1 квартал 2018 года опубликован в «Вестнике Петровского сельского поселения» от 18 июня 2018 года № 27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2. Анализ исполнения бюджета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При проведении анализа исполнения бюджета установлено следующее: </w:t>
      </w:r>
    </w:p>
    <w:p>
      <w:pPr>
        <w:pStyle w:val="NoSpacing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Бюджет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Петровского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утвержден Решением Совета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Петровского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от 01.12.2017 года № 1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О бюджете Петровского сельского поселения на 2018 год и на плановый период 2019 и 2020 годов</w:t>
      </w:r>
      <w:r>
        <w:rPr>
          <w:rFonts w:cs="Times New Roman" w:ascii="Times New Roman" w:hAnsi="Times New Roman"/>
          <w:sz w:val="26"/>
          <w:szCs w:val="26"/>
        </w:rPr>
        <w:t xml:space="preserve">» (далее - Решение о бюджете).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Решением о бюджете, бюджет </w:t>
      </w:r>
      <w:bookmarkStart w:id="2" w:name="__DdeLink__4432_3807269143"/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Петровского</w:t>
      </w:r>
      <w:bookmarkEnd w:id="2"/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 сельского поселения</w:t>
      </w:r>
      <w:r>
        <w:rPr>
          <w:rFonts w:cs="Times New Roman" w:ascii="Times New Roman" w:hAnsi="Times New Roman"/>
          <w:sz w:val="26"/>
          <w:szCs w:val="26"/>
        </w:rPr>
        <w:t xml:space="preserve"> на 2018 год утвержден по доходам в сумме 4 383,61тыс.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 рублей,</w:t>
      </w:r>
      <w:r>
        <w:rPr>
          <w:rFonts w:cs="Times New Roman" w:ascii="Times New Roman" w:hAnsi="Times New Roman"/>
          <w:sz w:val="26"/>
          <w:szCs w:val="26"/>
        </w:rPr>
        <w:t xml:space="preserve"> по расходам в сумме  4 554,15 тыс.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рублей</w:t>
      </w:r>
      <w:r>
        <w:rPr>
          <w:rFonts w:cs="Times New Roman" w:ascii="Times New Roman" w:hAnsi="Times New Roman"/>
          <w:sz w:val="26"/>
          <w:szCs w:val="26"/>
        </w:rPr>
        <w:t xml:space="preserve">.   Дефицит бюджета утвержден в сумме 170,54 тыс. рублей.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основании уведомлений Администрации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Кондопожского муниципального района увеличен объем межбюджетных трансфертов на сумму 832,86 тыс. рублей, доходы </w:t>
      </w:r>
      <w:r>
        <w:rPr>
          <w:rFonts w:cs="Times New Roman" w:ascii="Times New Roman" w:hAnsi="Times New Roman"/>
          <w:sz w:val="26"/>
          <w:szCs w:val="26"/>
        </w:rPr>
        <w:t>составили 5 216,47 тыс. рублей. На основании Распоряжения Финансового управления Администрации Кондопожского муниципального района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«О внесении изменений в сводную бюджетную роспись расходов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Петровского сельского поселения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 на 2018 год» от 28.02.2018 года № 75-р</w:t>
      </w:r>
      <w:r>
        <w:rPr>
          <w:rFonts w:cs="Times New Roman" w:ascii="Times New Roman" w:hAnsi="Times New Roman"/>
          <w:sz w:val="26"/>
          <w:szCs w:val="26"/>
        </w:rPr>
        <w:t xml:space="preserve">  утвержденные бюджетные назначения увеличились и составили по  расходам 5387,01 тыс. рублей.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Основные параметры исполнения бюджета Петровского сельского поселения за 1 квартал 2018 года в сравнении с аналогичным периодом 2017 года приведены в следующей таблице: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right"/>
        <w:rPr/>
      </w:pPr>
      <w:r>
        <w:rPr>
          <w:rFonts w:ascii="Times New Roman" w:hAnsi="Times New Roman"/>
        </w:rPr>
        <w:t>рублей</w:t>
      </w:r>
    </w:p>
    <w:tbl>
      <w:tblPr>
        <w:tblW w:w="9360" w:type="dxa"/>
        <w:jc w:val="left"/>
        <w:tblInd w:w="1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1695"/>
        <w:gridCol w:w="1365"/>
        <w:gridCol w:w="1185"/>
        <w:gridCol w:w="795"/>
        <w:gridCol w:w="1305"/>
        <w:gridCol w:w="1200"/>
        <w:gridCol w:w="794"/>
        <w:gridCol w:w="1020"/>
      </w:tblGrid>
      <w:tr>
        <w:trPr>
          <w:trHeight w:val="900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Наименование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01.04.2017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% исполнения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Утвержденные бюджетные назначения на 01.04.2018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Исполнено на 01.04.2018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 xml:space="preserve">% исполнения 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отклонение (гр.6 - гр.3)</w:t>
            </w:r>
          </w:p>
        </w:tc>
      </w:tr>
      <w:tr>
        <w:trPr>
          <w:trHeight w:val="57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8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1. Доходы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5603,26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961,17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17,2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5216,47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1160,54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22,2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199,4</w:t>
            </w:r>
          </w:p>
        </w:tc>
      </w:tr>
      <w:tr>
        <w:trPr>
          <w:trHeight w:val="70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1899,84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459,03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24,2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2018,61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377,19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18,7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-81,8</w:t>
            </w:r>
          </w:p>
        </w:tc>
      </w:tr>
      <w:tr>
        <w:trPr>
          <w:trHeight w:val="551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3703,42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502,14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13,6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3197,86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783,35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24,5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18"/>
                <w:szCs w:val="18"/>
              </w:rPr>
              <w:t>281,2</w:t>
            </w:r>
          </w:p>
        </w:tc>
      </w:tr>
      <w:tr>
        <w:trPr>
          <w:trHeight w:val="35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2. Расходы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5722,04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975,41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17,0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5387,01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983,78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18,3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8,4</w:t>
            </w:r>
          </w:p>
        </w:tc>
      </w:tr>
      <w:tr>
        <w:trPr>
          <w:trHeight w:val="926" w:hRule="atLeast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13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-118,78</w:t>
            </w:r>
          </w:p>
        </w:tc>
        <w:tc>
          <w:tcPr>
            <w:tcW w:w="11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18"/>
                <w:szCs w:val="18"/>
              </w:rPr>
              <w:t>-14,24</w:t>
            </w:r>
          </w:p>
        </w:tc>
        <w:tc>
          <w:tcPr>
            <w:tcW w:w="7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0,1</w:t>
            </w:r>
          </w:p>
        </w:tc>
        <w:tc>
          <w:tcPr>
            <w:tcW w:w="130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-170,54</w:t>
            </w:r>
          </w:p>
        </w:tc>
        <w:tc>
          <w:tcPr>
            <w:tcW w:w="12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176,76</w:t>
            </w:r>
          </w:p>
        </w:tc>
        <w:tc>
          <w:tcPr>
            <w:tcW w:w="79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4,0</w:t>
            </w:r>
          </w:p>
        </w:tc>
        <w:tc>
          <w:tcPr>
            <w:tcW w:w="10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lineRule="auto" w:line="276" w:before="0" w:after="160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0A"/>
                <w:sz w:val="18"/>
                <w:szCs w:val="18"/>
              </w:rPr>
              <w:t>191,0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 состоянию на 1 апреля 2018 года в бюджет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Петровского сельского поселения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поступило всего доходов в сумме 1 160,54 тыс. </w:t>
      </w:r>
      <w:r>
        <w:rPr>
          <w:rFonts w:cs="Times New Roman" w:ascii="Times New Roman" w:hAnsi="Times New Roman"/>
          <w:sz w:val="26"/>
          <w:szCs w:val="26"/>
        </w:rPr>
        <w:t>рублей или 22,2 процентов от утвержденных годовых назначений (5 216,47тыс. рублей), в том числе: налоговые и неналоговые доходы в сумме 377,19 тыс. рублей или 18,7 процента от плановых назначений; безвозмездные поступления составили 783,35 тыс. рублей или 24,5 процента от плановых назначений.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целом доходов по сравнению с аналогичным периодом прошлого года получено больше н</w:t>
      </w:r>
      <w:r>
        <w:rPr>
          <w:rFonts w:cs="Times New Roman" w:ascii="Times New Roman" w:hAnsi="Times New Roman"/>
          <w:sz w:val="26"/>
          <w:szCs w:val="26"/>
          <w:highlight w:val="white"/>
        </w:rPr>
        <w:t>а 199,40 тыс.</w:t>
      </w:r>
      <w:r>
        <w:rPr>
          <w:rFonts w:cs="Times New Roman" w:ascii="Times New Roman" w:hAnsi="Times New Roman"/>
          <w:sz w:val="26"/>
          <w:szCs w:val="26"/>
        </w:rPr>
        <w:t xml:space="preserve"> рублей, в том числе за счет безвозмездных  поступлений  на 281,20 тыс. рублей. Поступление  налоговых и неналоговых доходы снизилось на 81,8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>В общей сумме поступивших доходов по состоянию на 01.04.2018 года налоговые и неналоговые доходы составляют – 32,5 процента, безвозмездные поступления – 67,5 процента.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Исполнение бюджета Петровского сельского поселения по доходам за 1 квартал 2018 года в сравнении с аналогичным периодом 2017 года приведено в Приложении № 1.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Анализ структуры налоговых и неналоговых доходов бюджета Петровского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</w:t>
      </w:r>
      <w:r>
        <w:rPr>
          <w:rFonts w:cs="Times New Roman" w:ascii="Times New Roman" w:hAnsi="Times New Roman"/>
          <w:sz w:val="26"/>
          <w:szCs w:val="26"/>
        </w:rPr>
        <w:t xml:space="preserve">по основным видам и группам налогов показал, что наибольший удельный вес в общем объеме поступивших доходов бюджета </w:t>
      </w:r>
      <w:r>
        <w:rPr>
          <w:rFonts w:cs="Times New Roman" w:ascii="Times New Roman" w:hAnsi="Times New Roman"/>
          <w:sz w:val="26"/>
          <w:szCs w:val="26"/>
          <w:highlight w:val="white"/>
        </w:rPr>
        <w:t>приходится на налог на имущество — 20,1 процента, или 61,9 процента в общем объеме налоговых и неналоговых доходов бюджета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сравнении с аналогичным периодом прошлого года установлено значительное снижение налоговых и неналоговых доходов по налогу на имущество, за 1 квартал 2018 года поступило  233,47 тыс. рублей или 15,5 процента от годовых плановых назначений, что на 111,95 тыс. рублей меньше, чем за аналогичный период прошлого года.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Налоги на доходы физических лиц </w:t>
      </w:r>
      <w:bookmarkStart w:id="3" w:name="__DdeLink__3118_805788400"/>
      <w:r>
        <w:rPr>
          <w:rFonts w:cs="Times New Roman" w:ascii="Times New Roman" w:hAnsi="Times New Roman"/>
          <w:sz w:val="26"/>
          <w:szCs w:val="26"/>
        </w:rPr>
        <w:t>составляют 6,0 процентов от общей суммы доходов бюджета, по сравнению с аналогичным периодом прошлого года, поступления увеличились на 21,55 тыс. рублей и составили 260,39 тыс. рублей или 26,6 процент</w:t>
      </w:r>
      <w:bookmarkEnd w:id="3"/>
      <w:r>
        <w:rPr>
          <w:rFonts w:cs="Times New Roman" w:ascii="Times New Roman" w:hAnsi="Times New Roman"/>
          <w:sz w:val="26"/>
          <w:szCs w:val="26"/>
        </w:rPr>
        <w:t>а от плановых назначений.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Поступления 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алогов на товары (работы, услуги) реализуемые на территории РФ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 за 1 квартал текущего года составили 62,88 тыс. рублей, что составляет 5,4 процента в общем объеме доходов бюджета или 26,1 процента от плановых назначений. По сравнению с 1 кварталом 2017 года поступления увеличились на 1,46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оходы от оказания платных услуг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составили 6,70 тыс. рублей или 0,6 процента от общей суммы доходов бюджета, по сравнению с аналогичным периодом прошлого года, поступления увеличились на 2,10 тыс. рублей. Доходы  от оказания платных услуг планировались на 2018 год в размере 15,0 тыс. рублей., получено доходов в 1 квартале 2018г. 6,70 и составило 44,7 процента от плановых назначений, что говорит о некачественном планировании..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 долю безвозмездных поступлений приходится 67,5 процента в общем объеме доходов, поступивших в бюджет по состоянию на 1 апреля 2018 года, сумма поступлений составила 783,35 тыс. рублей или 24,5 процента от плановых назначений. Общий объем безвозмездных поступлений по сравнению с аналогичным периодом прошлого года возрос на 281,21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Расходы</w:t>
      </w:r>
      <w:r>
        <w:rPr>
          <w:rFonts w:cs="Times New Roman" w:ascii="Times New Roman" w:hAnsi="Times New Roman"/>
          <w:sz w:val="26"/>
          <w:szCs w:val="26"/>
        </w:rPr>
        <w:t xml:space="preserve"> бюджета Петровского сельского поселения по состоянию на 01.04.2018 года составили 983,78 тыс. рублей или 18,3 процента от утвержденных бюджетных назначений на 2018 год. По сравнению с исполнением бюджета за 1 квартал прошлого года,  расходы Петровского сельского поселения увеличились не значительно на 8,37 тыс. рублей.</w:t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Анализ исполнения расходов за 1 квартал 2018года по разделам функциональной классификации  расходов приведен в следующей  таблице: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567"/>
        <w:jc w:val="right"/>
        <w:rPr/>
      </w:pPr>
      <w:r>
        <w:rPr>
          <w:rFonts w:ascii="Times New Roman" w:hAnsi="Times New Roman"/>
        </w:rPr>
        <w:t>тысяч рублей</w:t>
      </w:r>
    </w:p>
    <w:tbl>
      <w:tblPr>
        <w:tblW w:w="940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</w:tblPr>
      <w:tblGrid>
        <w:gridCol w:w="3464"/>
        <w:gridCol w:w="840"/>
        <w:gridCol w:w="1073"/>
        <w:gridCol w:w="1012"/>
        <w:gridCol w:w="976"/>
        <w:gridCol w:w="930"/>
        <w:gridCol w:w="1109"/>
      </w:tblGrid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Наименование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01.04.2017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Исполнено на 01.04.2018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Удельный вес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8"/>
                <w:szCs w:val="18"/>
                <w:u w:val="none"/>
                <w:em w:val="none"/>
              </w:rPr>
              <w:t>Отклонения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Общегосударственные расходы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339,92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291,81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-48,11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12,46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12,50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0,04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 xml:space="preserve">Национальная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  <w:t>безопасность и правоохранительную деятельность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102,45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128,31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25,86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86,71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78,09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-8,62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Культура и кинематография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433,87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473,07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39,20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szCs w:val="19"/>
                <w:u w:val="none"/>
                <w:em w:val="none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>
        <w:trPr/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Normal"/>
              <w:spacing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19"/>
                <w:u w:val="none"/>
                <w:em w:val="none"/>
              </w:rPr>
              <w:t>Расходы всего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975,41</w:t>
            </w:r>
          </w:p>
        </w:tc>
        <w:tc>
          <w:tcPr>
            <w:tcW w:w="1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983,78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6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8,37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соответствии с данным анализом  наибольший удельный вес в структуре расходов за 1 квартал 2018 года занимают расходы на 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ультуру и кинематографию</w:t>
      </w:r>
      <w:r>
        <w:rPr>
          <w:rFonts w:cs="Times New Roman" w:ascii="Times New Roman" w:hAnsi="Times New Roman"/>
          <w:sz w:val="26"/>
          <w:szCs w:val="26"/>
        </w:rPr>
        <w:t xml:space="preserve"> – 48,1 процента. В аналогичном периоде 2017 года наибольший удельный вес так же занимали расходы на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культуру и кинематографию</w:t>
      </w:r>
      <w:r>
        <w:rPr>
          <w:rFonts w:cs="Times New Roman" w:ascii="Times New Roman" w:hAnsi="Times New Roman"/>
          <w:sz w:val="26"/>
          <w:szCs w:val="26"/>
        </w:rPr>
        <w:t xml:space="preserve"> – 44,5 процент.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Общегосударственные вопросы составили 29,7 процента в общем объеме расходов за 1 квартал 2018года, расходы на 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ациональную оборону</w:t>
      </w:r>
      <w:r>
        <w:rPr>
          <w:rFonts w:cs="Times New Roman" w:ascii="Times New Roman" w:hAnsi="Times New Roman"/>
          <w:sz w:val="26"/>
          <w:szCs w:val="26"/>
        </w:rPr>
        <w:t xml:space="preserve"> – 1,3 процента, на национальную экономику – 13,0 процентов, на ж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>илищно-коммунальное хозяйство — 7,9 процента</w:t>
      </w:r>
      <w:r>
        <w:rPr>
          <w:rFonts w:cs="Times New Roman" w:ascii="Times New Roman" w:hAnsi="Times New Roman"/>
          <w:sz w:val="26"/>
          <w:szCs w:val="26"/>
        </w:rPr>
        <w:t xml:space="preserve">. 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Анализ исполнение бюджета Петровского сельского поселения по расходам за 1 квартал 2018 года по разделам, подразделам бюджетной классификации в сравнении с аналогичным периодом 2017 года, приведены в Приложение № 2.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среднем уровне исполнения плановых назначений по расходам в размере 18,3 процента, уровень исполнения по разделам сложился от 0 процентов («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Национальная  безопасность и правоохранительную деятельность</w:t>
      </w:r>
      <w:r>
        <w:rPr>
          <w:rFonts w:cs="Times New Roman" w:ascii="Times New Roman" w:hAnsi="Times New Roman"/>
          <w:sz w:val="26"/>
          <w:szCs w:val="26"/>
          <w:highlight w:val="white"/>
        </w:rPr>
        <w:t>», 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Физическая культура и спорт»</w:t>
      </w:r>
      <w:r>
        <w:rPr>
          <w:rFonts w:cs="Times New Roman" w:ascii="Times New Roman" w:hAnsi="Times New Roman"/>
          <w:sz w:val="26"/>
          <w:szCs w:val="26"/>
          <w:highlight w:val="white"/>
        </w:rPr>
        <w:t>) до 53,3 процента («Н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ациональная экономика</w:t>
      </w:r>
      <w:r>
        <w:rPr>
          <w:rFonts w:cs="Times New Roman" w:ascii="Times New Roman" w:hAnsi="Times New Roman"/>
          <w:sz w:val="26"/>
          <w:szCs w:val="26"/>
          <w:highlight w:val="white"/>
        </w:rPr>
        <w:t>»).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При анализе исполнения бюджета по расходам в 1 квартале 2018 года объем расходования средств увеличился в сравнении с аналогичным периодом прошлого года.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Наибольшее увеличение расходов в сравнении с аналогичным периодом прошлого года, сложилось по разделу «К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ультура, кинематография</w:t>
      </w:r>
      <w:r>
        <w:rPr>
          <w:rFonts w:cs="Times New Roman" w:ascii="Times New Roman" w:hAnsi="Times New Roman"/>
          <w:sz w:val="26"/>
          <w:szCs w:val="26"/>
          <w:highlight w:val="white"/>
        </w:rPr>
        <w:t>» подраздел «Культура» на сумму 39,20 тыс. рублей, по разделу «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>Национальная экономика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» подраздел «Дорожное хозяйство (дорожные фонды)» на сумму 25,86 тыс. рублей.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В сторону уменьшения наибольшее отклонение исполнения расходов сложилось по разделу «Общегосударственные вопросы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» подраздел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highlight w:val="white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sz w:val="26"/>
          <w:szCs w:val="26"/>
          <w:u w:val="none"/>
          <w:em w:val="none"/>
        </w:rPr>
        <w:t xml:space="preserve">«Функционирование Правительства РФ, высших исполнительных органов государственной власти субъектов РФ, местных администраций» </w:t>
      </w:r>
      <w:r>
        <w:rPr>
          <w:rFonts w:cs="Times New Roman" w:ascii="Times New Roman" w:hAnsi="Times New Roman"/>
          <w:bCs/>
          <w:sz w:val="26"/>
          <w:szCs w:val="26"/>
          <w:highlight w:val="white"/>
        </w:rPr>
        <w:t xml:space="preserve">на сумму 52,15 тыс. рублей.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Исполнение бюджета Петровского сельского поселения за </w:t>
      </w:r>
      <w:r>
        <w:rPr>
          <w:rFonts w:cs="Times New Roman" w:ascii="Times New Roman" w:hAnsi="Times New Roman"/>
          <w:sz w:val="26"/>
          <w:szCs w:val="26"/>
          <w:highlight w:val="white"/>
          <w:lang w:val="en-US"/>
        </w:rPr>
        <w:t>I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квартал 2018 года в разрезе сгруппированных по видам расходов представлено ниже: </w:t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ListParagraph"/>
        <w:spacing w:lineRule="auto" w:line="240" w:before="0" w:after="0"/>
        <w:ind w:left="0" w:firstLine="737"/>
        <w:contextualSpacing/>
        <w:jc w:val="right"/>
        <w:rPr/>
      </w:pPr>
      <w:r>
        <w:rPr>
          <w:rFonts w:cs="Times New Roman" w:ascii="Times New Roman" w:hAnsi="Times New Roman"/>
          <w:sz w:val="18"/>
          <w:szCs w:val="18"/>
          <w:highlight w:val="white"/>
        </w:rPr>
        <w:t>тыс. рублей</w:t>
      </w:r>
    </w:p>
    <w:tbl>
      <w:tblPr>
        <w:tblW w:w="9360" w:type="dxa"/>
        <w:jc w:val="left"/>
        <w:tblInd w:w="7" w:type="dxa"/>
        <w:tblBorders>
          <w:top w:val="single" w:sz="2" w:space="0" w:color="00000A"/>
          <w:left w:val="single" w:sz="2" w:space="0" w:color="00000A"/>
          <w:bottom w:val="single" w:sz="2" w:space="0" w:color="000001"/>
          <w:right w:val="single" w:sz="2" w:space="0" w:color="00000A"/>
          <w:insideH w:val="single" w:sz="2" w:space="0" w:color="000001"/>
          <w:insideV w:val="single" w:sz="2" w:space="0" w:color="00000A"/>
        </w:tblBorders>
        <w:tblCellMar>
          <w:top w:w="28" w:type="dxa"/>
          <w:left w:w="-2" w:type="dxa"/>
          <w:bottom w:w="28" w:type="dxa"/>
          <w:right w:w="28" w:type="dxa"/>
        </w:tblCellMar>
      </w:tblPr>
      <w:tblGrid>
        <w:gridCol w:w="892"/>
        <w:gridCol w:w="3356"/>
        <w:gridCol w:w="1122"/>
        <w:gridCol w:w="1069"/>
        <w:gridCol w:w="1082"/>
        <w:gridCol w:w="918"/>
        <w:gridCol w:w="920"/>
      </w:tblGrid>
      <w:tr>
        <w:trPr>
          <w:trHeight w:val="79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1"/>
              <w:right w:val="single" w:sz="2" w:space="0" w:color="00000A"/>
              <w:insideH w:val="single" w:sz="2" w:space="0" w:color="000001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Группы видов расходов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Наименование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Утверждено на 01.04.2018г.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Исполнение за 1 квартал 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Доля в общих расходах (%)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% исполнения</w:t>
            </w:r>
          </w:p>
        </w:tc>
      </w:tr>
      <w:tr>
        <w:trPr>
          <w:trHeight w:val="121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3062,51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56,9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498,53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16,3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1992,66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37,0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484,18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49,2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24,3</w:t>
            </w:r>
          </w:p>
        </w:tc>
      </w:tr>
      <w:tr>
        <w:trPr>
          <w:trHeight w:val="596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66,07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1,2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50,37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0,9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800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215,40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4,0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1,07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0,5</w:t>
            </w:r>
          </w:p>
        </w:tc>
      </w:tr>
      <w:tr>
        <w:trPr>
          <w:trHeight w:val="371" w:hRule="atLeast"/>
        </w:trPr>
        <w:tc>
          <w:tcPr>
            <w:tcW w:w="8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 </w:t>
            </w:r>
          </w:p>
        </w:tc>
        <w:tc>
          <w:tcPr>
            <w:tcW w:w="33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left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5387,01</w:t>
            </w:r>
          </w:p>
        </w:tc>
        <w:tc>
          <w:tcPr>
            <w:tcW w:w="10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100,0</w:t>
            </w:r>
          </w:p>
        </w:tc>
        <w:tc>
          <w:tcPr>
            <w:tcW w:w="108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983,78</w:t>
            </w:r>
          </w:p>
        </w:tc>
        <w:tc>
          <w:tcPr>
            <w:tcW w:w="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9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Style28"/>
              <w:spacing w:before="0" w:after="16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z w:val="20"/>
                <w:szCs w:val="20"/>
              </w:rPr>
              <w:t>18,26</w:t>
            </w:r>
          </w:p>
        </w:tc>
      </w:tr>
    </w:tbl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spacing w:lineRule="auto" w:line="276" w:before="0" w:after="0"/>
        <w:ind w:left="0" w:firstLine="73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Анализ данных показывает, что исполнение бюджета в анализируемом периоде в разрезе видов расходов, ниже квартальных значений (25%). Наибольшую долю в общих расходах занимают р</w:t>
      </w:r>
      <w:r>
        <w:rPr>
          <w:rFonts w:cs="Times New Roman" w:ascii="Times New Roman" w:hAnsi="Times New Roman"/>
          <w:color w:val="00000A"/>
          <w:sz w:val="26"/>
          <w:szCs w:val="26"/>
          <w:highlight w:val="white"/>
        </w:rPr>
        <w:t>асходы на выплаты персоналу 50,7 процента.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итогам 1 квартала 2018 года бюджет Петровского сельского поселения исполнен с профицитом в сумме  176,76 тыс. рублей.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Муниципальный долг Петровского сельского поселения на 01.04.2018 года отсутствует.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ru-RU"/>
        </w:rPr>
        <w:t>3. Анализ бухгалтерской отчетности.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Отчет об исполнении бюджета 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Петровского сельского поселения </w:t>
      </w:r>
      <w:r>
        <w:rPr>
          <w:rFonts w:cs="Times New Roman" w:ascii="Times New Roman" w:hAnsi="Times New Roman"/>
          <w:sz w:val="26"/>
          <w:szCs w:val="26"/>
          <w:lang w:eastAsia="ru-RU"/>
        </w:rPr>
        <w:t xml:space="preserve">за 1 квартал 2018 года сформирован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 xml:space="preserve">Согласно Сведениям по дебиторской и кредиторской задолженности (ф.0503169) дебиторская задолженность на 01.04.2018 года по сравнению с данными на 01.01.2018 года,  возросла на 91,48 тыс. рублей и составила 991,07 тыс. рублей, просроченная дебиторская задолженность увеличилась на 49,62 тыс. рублей и составила 945,61. В сравнении с аналогичным периодом прошлого года дебиторская задолженность увеличилась на 19,7 %.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lang w:eastAsia="ru-RU"/>
        </w:rPr>
        <w:t>Кредиторская задолженность на 01.04.2018 года составила 516,81 тыс. рублей, на 01.01.2018 года задолженность составляла 556,22 кредиторская задолженность снизилась на 39,41 тыс. рублей.</w:t>
      </w: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eastAsia="ru-RU"/>
        </w:rPr>
        <w:t xml:space="preserve"> В сравнении с аналогичным периодом прошлого года кредиторская задолженность возросла на 42,3 %.</w:t>
      </w:r>
    </w:p>
    <w:p>
      <w:pPr>
        <w:pStyle w:val="ListParagraph"/>
        <w:widowControl/>
        <w:suppressAutoHyphens w:val="true"/>
        <w:bidi w:val="0"/>
        <w:spacing w:lineRule="auto" w:line="276" w:before="0" w:after="0"/>
        <w:ind w:left="0" w:right="0" w:hanging="397"/>
        <w:contextualSpacing/>
        <w:jc w:val="both"/>
        <w:rPr/>
      </w:pP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6"/>
          <w:szCs w:val="26"/>
          <w:u w:val="none"/>
          <w:lang w:eastAsia="ru-RU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>В ходе анализа проверено соблюдение общих требований по составлению и формированию бюджетной отчетности, установленных вышеуказанной инструкцией. Нарушений не установлено.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При сверке показателей о</w:t>
      </w:r>
      <w:r>
        <w:rPr>
          <w:rFonts w:cs="Times New Roman" w:ascii="Times New Roman" w:hAnsi="Times New Roman"/>
          <w:sz w:val="26"/>
          <w:szCs w:val="26"/>
          <w:highlight w:val="white"/>
          <w:lang w:eastAsia="ru-RU"/>
        </w:rPr>
        <w:t xml:space="preserve">тчета за 1 квартал 2018 года (форма 0503117) с </w:t>
      </w:r>
      <w:r>
        <w:rPr>
          <w:rFonts w:cs="Times New Roman" w:ascii="Times New Roman" w:hAnsi="Times New Roman"/>
          <w:sz w:val="26"/>
          <w:szCs w:val="26"/>
          <w:highlight w:val="white"/>
        </w:rPr>
        <w:t>показателями отчета по поступлениям и выбытию (форма 0503151), представленным Управлением Федерального казначейства по Республике Карелия, по состоянию на 01.04.2018 года, расхождений не установлено.</w:t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</w:rPr>
        <w:t>Замечаний и недостатков, допущенных при формировании бюджетной отчетности, повлиявших на ее достоверность  не установлено.</w:t>
      </w:r>
    </w:p>
    <w:p>
      <w:pPr>
        <w:pStyle w:val="Standard"/>
        <w:spacing w:lineRule="auto" w:line="276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76"/>
        <w:jc w:val="center"/>
        <w:rPr/>
      </w:pPr>
      <w:r>
        <w:rPr>
          <w:rFonts w:ascii="Times New Roman" w:hAnsi="Times New Roman"/>
          <w:b/>
          <w:sz w:val="26"/>
          <w:szCs w:val="26"/>
        </w:rPr>
        <w:t>Выводы: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По результатам проверки отчёта об исполнении бюджета </w:t>
      </w:r>
      <w:bookmarkStart w:id="4" w:name="__DdeLink__2635_2759210380"/>
      <w:r>
        <w:rPr>
          <w:rFonts w:ascii="Times New Roman" w:hAnsi="Times New Roman"/>
          <w:sz w:val="26"/>
          <w:szCs w:val="26"/>
        </w:rPr>
        <w:t xml:space="preserve">Петровского </w:t>
      </w:r>
      <w:bookmarkEnd w:id="4"/>
      <w:r>
        <w:rPr>
          <w:rFonts w:ascii="Times New Roman" w:hAnsi="Times New Roman"/>
          <w:sz w:val="26"/>
          <w:szCs w:val="26"/>
        </w:rPr>
        <w:t xml:space="preserve">сельского поселения за 1 квартал 2018 года Контрольно-счётный орган </w:t>
      </w: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считает, что отчёт об исполнении бюджета Петровского сельского поселения в представленном виде является  достоверным</w:t>
      </w:r>
      <w:r>
        <w:rPr>
          <w:rStyle w:val="Style17"/>
          <w:rFonts w:ascii="Times New Roman" w:hAnsi="Times New Roman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>Представленный отчет соответствует нормам действующего законодательства.</w:t>
      </w:r>
    </w:p>
    <w:p>
      <w:pPr>
        <w:pStyle w:val="Normal"/>
        <w:numPr>
          <w:ilvl w:val="0"/>
          <w:numId w:val="1"/>
        </w:numPr>
        <w:tabs>
          <w:tab w:val="left" w:pos="1140" w:leader="none"/>
        </w:tabs>
        <w:spacing w:lineRule="auto" w:line="276" w:before="0" w:after="0"/>
        <w:jc w:val="both"/>
        <w:rPr/>
      </w:pPr>
      <w:r>
        <w:rPr>
          <w:rStyle w:val="Style17"/>
          <w:rFonts w:ascii="Times New Roman" w:hAnsi="Times New Roman"/>
          <w:sz w:val="26"/>
          <w:szCs w:val="26"/>
        </w:rPr>
        <w:t xml:space="preserve">Отчет об исполнении бюджета Петровского сельского поселения за 1 квартал 2018 года опубликован в </w:t>
      </w:r>
      <w:r>
        <w:rPr>
          <w:rStyle w:val="Style17"/>
          <w:rFonts w:cs="Times New Roman" w:ascii="Times New Roman" w:hAnsi="Times New Roman"/>
          <w:sz w:val="26"/>
          <w:szCs w:val="26"/>
          <w:lang w:val="ru-RU" w:eastAsia="ru-RU"/>
        </w:rPr>
        <w:t xml:space="preserve">периодическом печатном издании. 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Предлагаемые представления и /или предписания: </w:t>
      </w:r>
      <w:r>
        <w:rPr>
          <w:rFonts w:cs="Times New Roman" w:ascii="Times New Roman" w:hAnsi="Times New Roman"/>
          <w:bCs/>
          <w:sz w:val="26"/>
          <w:szCs w:val="26"/>
        </w:rPr>
        <w:t>нет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ListParagraph"/>
        <w:spacing w:lineRule="auto" w:line="276" w:before="0" w:after="46"/>
        <w:ind w:left="0" w:firstLine="567"/>
        <w:contextualSpacing/>
        <w:jc w:val="both"/>
        <w:rPr/>
      </w:pPr>
      <w:r>
        <w:rPr>
          <w:rFonts w:ascii="Times New Roman" w:hAnsi="Times New Roman"/>
          <w:sz w:val="26"/>
          <w:szCs w:val="26"/>
        </w:rPr>
        <w:t xml:space="preserve">Направить Анализ отчета об исполнении бюджета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Петровского сельского поселения</w:t>
      </w:r>
      <w:r>
        <w:rPr>
          <w:rFonts w:ascii="Times New Roman" w:hAnsi="Times New Roman"/>
          <w:sz w:val="26"/>
          <w:szCs w:val="26"/>
        </w:rPr>
        <w:t xml:space="preserve"> за 1 квартал 2018года в адрес:</w:t>
      </w:r>
    </w:p>
    <w:p>
      <w:pPr>
        <w:pStyle w:val="Normal"/>
        <w:bidi w:val="0"/>
        <w:spacing w:lineRule="auto" w:line="276" w:before="113" w:after="45"/>
        <w:ind w:firstLine="68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cs="Times New Roman" w:ascii="Times New Roman" w:hAnsi="Times New Roman"/>
          <w:iCs/>
          <w:sz w:val="26"/>
          <w:szCs w:val="26"/>
          <w:highlight w:val="white"/>
          <w:shd w:fill="FFFFFF" w:val="clear"/>
          <w:lang w:eastAsia="ru-RU"/>
        </w:rPr>
        <w:t>Петровского сельского поселения</w:t>
      </w:r>
      <w:r>
        <w:rPr>
          <w:rFonts w:cs="Times New Roman" w:ascii="Times New Roman" w:hAnsi="Times New Roman"/>
          <w:sz w:val="26"/>
          <w:szCs w:val="26"/>
          <w:highlight w:val="white"/>
          <w:shd w:fill="FFFFFF" w:val="clear"/>
          <w:lang w:eastAsia="ru-RU"/>
        </w:rPr>
        <w:t>.</w:t>
      </w:r>
    </w:p>
    <w:p>
      <w:pPr>
        <w:pStyle w:val="Normal"/>
        <w:spacing w:lineRule="auto" w:line="276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Председатель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</w:t>
      </w:r>
      <w:bookmarkStart w:id="5" w:name="__DdeLink__505_4059367422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</w:t>
      </w:r>
      <w:bookmarkEnd w:id="5"/>
      <w:r>
        <w:rPr>
          <w:rFonts w:cs="Times New Roman" w:ascii="Times New Roman" w:hAnsi="Times New Roman"/>
          <w:sz w:val="26"/>
          <w:szCs w:val="26"/>
          <w:highlight w:val="white"/>
        </w:rPr>
        <w:t xml:space="preserve">                                             Е.А. Горошкина                   </w:t>
      </w:r>
    </w:p>
    <w:p>
      <w:pPr>
        <w:pStyle w:val="Normal"/>
        <w:spacing w:lineRule="auto" w:line="276" w:before="0" w:after="4"/>
        <w:ind w:right="14" w:hanging="0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Инспектор Контрольно-счетного органа</w:t>
      </w:r>
    </w:p>
    <w:p>
      <w:pPr>
        <w:pStyle w:val="Normal"/>
        <w:spacing w:lineRule="auto" w:line="276" w:before="0" w:after="4"/>
        <w:ind w:right="14" w:hanging="0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Кондопожского муниципального района                                              И.В. Демидова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1134" w:top="1460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</w:p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Текст выноски Знак"/>
    <w:basedOn w:val="DefaultParagraphFont"/>
    <w:uiPriority w:val="99"/>
    <w:qFormat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uiPriority w:val="99"/>
    <w:qFormat/>
    <w:rPr>
      <w:rFonts w:cs="Times New Roman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cs="Times New Roman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cs="Times New Roman"/>
    </w:rPr>
  </w:style>
  <w:style w:type="character" w:styleId="Style17" w:customStyle="1">
    <w:name w:val="Основной текст Знак"/>
    <w:uiPriority w:val="99"/>
    <w:qFormat/>
    <w:rPr>
      <w:sz w:val="23"/>
      <w:shd w:fill="FFFFFF" w:val="clear"/>
    </w:rPr>
  </w:style>
  <w:style w:type="character" w:styleId="ListLabel14" w:customStyle="1">
    <w:name w:val="ListLabel 14"/>
    <w:uiPriority w:val="99"/>
    <w:qFormat/>
    <w:rPr>
      <w:sz w:val="28"/>
    </w:rPr>
  </w:style>
  <w:style w:type="character" w:styleId="Style18" w:customStyle="1">
    <w:name w:val="Символ нумерации"/>
    <w:uiPriority w:val="99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cs="Times New Roman"/>
      <w:color w:val="00000A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color w:val="00000A"/>
      <w:sz w:val="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color w:val="00000A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color w:val="00000A"/>
      <w:lang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eastAsia="Times New Roman" w:cs="Cambria"/>
      <w:color w:val="00000A"/>
      <w:sz w:val="24"/>
      <w:szCs w:val="24"/>
      <w:lang w:eastAsia="en-US"/>
    </w:rPr>
  </w:style>
  <w:style w:type="character" w:styleId="ListLabel15" w:customStyle="1">
    <w:name w:val="ListLabel 15"/>
    <w:uiPriority w:val="99"/>
    <w:qFormat/>
    <w:rsid w:val="00790dda"/>
    <w:rPr/>
  </w:style>
  <w:style w:type="character" w:styleId="ListLabel16" w:customStyle="1">
    <w:name w:val="ListLabel 16"/>
    <w:uiPriority w:val="99"/>
    <w:qFormat/>
    <w:rsid w:val="00790dda"/>
    <w:rPr/>
  </w:style>
  <w:style w:type="character" w:styleId="ListLabel17" w:customStyle="1">
    <w:name w:val="ListLabel 17"/>
    <w:uiPriority w:val="99"/>
    <w:qFormat/>
    <w:rsid w:val="00790dda"/>
    <w:rPr/>
  </w:style>
  <w:style w:type="character" w:styleId="ListLabel18" w:customStyle="1">
    <w:name w:val="ListLabel 18"/>
    <w:uiPriority w:val="99"/>
    <w:qFormat/>
    <w:rsid w:val="00790dda"/>
    <w:rPr/>
  </w:style>
  <w:style w:type="character" w:styleId="ListLabel19" w:customStyle="1">
    <w:name w:val="ListLabel 19"/>
    <w:uiPriority w:val="99"/>
    <w:qFormat/>
    <w:rsid w:val="00790dda"/>
    <w:rPr/>
  </w:style>
  <w:style w:type="character" w:styleId="ListLabel20" w:customStyle="1">
    <w:name w:val="ListLabel 20"/>
    <w:uiPriority w:val="99"/>
    <w:qFormat/>
    <w:rsid w:val="00790dda"/>
    <w:rPr/>
  </w:style>
  <w:style w:type="character" w:styleId="ListLabel21" w:customStyle="1">
    <w:name w:val="ListLabel 21"/>
    <w:uiPriority w:val="99"/>
    <w:qFormat/>
    <w:rsid w:val="00790dda"/>
    <w:rPr/>
  </w:style>
  <w:style w:type="character" w:styleId="ListLabel22" w:customStyle="1">
    <w:name w:val="ListLabel 22"/>
    <w:uiPriority w:val="99"/>
    <w:qFormat/>
    <w:rsid w:val="00790dda"/>
    <w:rPr/>
  </w:style>
  <w:style w:type="character" w:styleId="ListLabel23" w:customStyle="1">
    <w:name w:val="ListLabel 23"/>
    <w:uiPriority w:val="99"/>
    <w:qFormat/>
    <w:rsid w:val="00790dda"/>
    <w:rPr/>
  </w:style>
  <w:style w:type="character" w:styleId="ListLabel24" w:customStyle="1">
    <w:name w:val="ListLabel 24"/>
    <w:uiPriority w:val="99"/>
    <w:qFormat/>
    <w:rsid w:val="00790dda"/>
    <w:rPr/>
  </w:style>
  <w:style w:type="character" w:styleId="ListLabel25" w:customStyle="1">
    <w:name w:val="ListLabel 25"/>
    <w:uiPriority w:val="99"/>
    <w:qFormat/>
    <w:rsid w:val="00790dda"/>
    <w:rPr/>
  </w:style>
  <w:style w:type="character" w:styleId="ListLabel26" w:customStyle="1">
    <w:name w:val="ListLabel 26"/>
    <w:uiPriority w:val="99"/>
    <w:qFormat/>
    <w:rsid w:val="00790dda"/>
    <w:rPr/>
  </w:style>
  <w:style w:type="character" w:styleId="ListLabel27" w:customStyle="1">
    <w:name w:val="ListLabel 27"/>
    <w:uiPriority w:val="99"/>
    <w:qFormat/>
    <w:rsid w:val="00790dda"/>
    <w:rPr/>
  </w:style>
  <w:style w:type="character" w:styleId="ListLabel28" w:customStyle="1">
    <w:name w:val="ListLabel 28"/>
    <w:uiPriority w:val="99"/>
    <w:qFormat/>
    <w:rsid w:val="00790dda"/>
    <w:rPr/>
  </w:style>
  <w:style w:type="character" w:styleId="ListLabel29" w:customStyle="1">
    <w:name w:val="ListLabel 29"/>
    <w:uiPriority w:val="99"/>
    <w:qFormat/>
    <w:rsid w:val="00790dda"/>
    <w:rPr/>
  </w:style>
  <w:style w:type="character" w:styleId="ListLabel30" w:customStyle="1">
    <w:name w:val="ListLabel 30"/>
    <w:uiPriority w:val="99"/>
    <w:qFormat/>
    <w:rsid w:val="00790dda"/>
    <w:rPr/>
  </w:style>
  <w:style w:type="character" w:styleId="ListLabel31" w:customStyle="1">
    <w:name w:val="ListLabel 31"/>
    <w:uiPriority w:val="99"/>
    <w:qFormat/>
    <w:rsid w:val="00790dda"/>
    <w:rPr/>
  </w:style>
  <w:style w:type="character" w:styleId="ListLabel32" w:customStyle="1">
    <w:name w:val="ListLabel 32"/>
    <w:uiPriority w:val="99"/>
    <w:qFormat/>
    <w:rsid w:val="00790dda"/>
    <w:rPr/>
  </w:style>
  <w:style w:type="character" w:styleId="ListLabel33" w:customStyle="1">
    <w:name w:val="ListLabel 33"/>
    <w:uiPriority w:val="99"/>
    <w:qFormat/>
    <w:rsid w:val="00790dda"/>
    <w:rPr/>
  </w:style>
  <w:style w:type="character" w:styleId="ListLabel34" w:customStyle="1">
    <w:name w:val="ListLabel 34"/>
    <w:uiPriority w:val="99"/>
    <w:qFormat/>
    <w:rsid w:val="00790dda"/>
    <w:rPr/>
  </w:style>
  <w:style w:type="character" w:styleId="ListLabel35" w:customStyle="1">
    <w:name w:val="ListLabel 35"/>
    <w:uiPriority w:val="99"/>
    <w:qFormat/>
    <w:rsid w:val="00790dda"/>
    <w:rPr/>
  </w:style>
  <w:style w:type="character" w:styleId="ListLabel36" w:customStyle="1">
    <w:name w:val="ListLabel 36"/>
    <w:uiPriority w:val="99"/>
    <w:qFormat/>
    <w:rsid w:val="00790dda"/>
    <w:rPr/>
  </w:style>
  <w:style w:type="character" w:styleId="ListLabel37" w:customStyle="1">
    <w:name w:val="ListLabel 37"/>
    <w:uiPriority w:val="99"/>
    <w:qFormat/>
    <w:rsid w:val="00790dda"/>
    <w:rPr/>
  </w:style>
  <w:style w:type="character" w:styleId="ListLabel38" w:customStyle="1">
    <w:name w:val="ListLabel 38"/>
    <w:uiPriority w:val="99"/>
    <w:qFormat/>
    <w:rsid w:val="00790dda"/>
    <w:rPr/>
  </w:style>
  <w:style w:type="character" w:styleId="ListLabel39" w:customStyle="1">
    <w:name w:val="ListLabel 39"/>
    <w:uiPriority w:val="99"/>
    <w:qFormat/>
    <w:rsid w:val="00790dda"/>
    <w:rPr/>
  </w:style>
  <w:style w:type="character" w:styleId="ListLabel40" w:customStyle="1">
    <w:name w:val="ListLabel 40"/>
    <w:uiPriority w:val="99"/>
    <w:qFormat/>
    <w:rsid w:val="00790dda"/>
    <w:rPr/>
  </w:style>
  <w:style w:type="character" w:styleId="ListLabel41" w:customStyle="1">
    <w:name w:val="ListLabel 41"/>
    <w:uiPriority w:val="99"/>
    <w:qFormat/>
    <w:rsid w:val="00790dda"/>
    <w:rPr/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d11674"/>
    <w:rPr>
      <w:color w:val="00000A"/>
      <w:lang w:eastAsia="en-US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d11674"/>
    <w:rPr>
      <w:rFonts w:ascii="Times New Roman" w:hAnsi="Times New Roman"/>
      <w:color w:val="00000A"/>
      <w:sz w:val="0"/>
      <w:szCs w:val="0"/>
      <w:lang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d11674"/>
    <w:rPr>
      <w:color w:val="00000A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d11674"/>
    <w:rPr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d11674"/>
    <w:rPr>
      <w:rFonts w:ascii="Cambria" w:hAnsi="Cambria" w:eastAsia="" w:cs="" w:asciiTheme="majorHAnsi" w:cstheme="majorBidi" w:eastAsiaTheme="majorEastAsia" w:hAnsiTheme="majorHAnsi"/>
      <w:color w:val="00000A"/>
      <w:sz w:val="24"/>
      <w:szCs w:val="24"/>
      <w:lang w:eastAsia="en-US"/>
    </w:rPr>
  </w:style>
  <w:style w:type="character" w:styleId="ListLabel42">
    <w:name w:val="ListLabel 42"/>
    <w:qFormat/>
    <w:rPr>
      <w:rFonts w:cs="Times New Roman"/>
      <w:sz w:val="22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  <w:sz w:val="22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sz w:val="22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  <w:sz w:val="22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  <w:sz w:val="22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  <w:sz w:val="22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  <w:sz w:val="22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  <w:sz w:val="22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  <w:sz w:val="22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  <w:sz w:val="22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  <w:sz w:val="22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  <w:sz w:val="22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  <w:sz w:val="2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  <w:sz w:val="22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sz w:val="2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  <w:sz w:val="22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character" w:styleId="ListLabel195">
    <w:name w:val="ListLabel 195"/>
    <w:qFormat/>
    <w:rPr>
      <w:rFonts w:cs="Times New Roman"/>
      <w:sz w:val="22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  <w:sz w:val="22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  <w:sz w:val="22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  <w:sz w:val="22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  <w:sz w:val="22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  <w:sz w:val="22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  <w:sz w:val="22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  <w:sz w:val="22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  <w:sz w:val="22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  <w:sz w:val="22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  <w:sz w:val="22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  <w:sz w:val="22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  <w:sz w:val="22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  <w:sz w:val="22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  <w:sz w:val="22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  <w:sz w:val="22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paragraph" w:styleId="Style20" w:customStyle="1">
    <w:name w:val="Заголовок"/>
    <w:basedOn w:val="Normal"/>
    <w:next w:val="Style21"/>
    <w:uiPriority w:val="99"/>
    <w:qFormat/>
    <w:pPr>
      <w:keepNext w:val="true"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21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22">
    <w:name w:val="List"/>
    <w:basedOn w:val="Style21"/>
    <w:uiPriority w:val="99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790dda"/>
    <w:pPr>
      <w:ind w:left="220" w:hanging="220"/>
    </w:pPr>
    <w:rPr/>
  </w:style>
  <w:style w:type="paragraph" w:styleId="Indexheading">
    <w:name w:val="index heading"/>
    <w:basedOn w:val="Normal"/>
    <w:uiPriority w:val="99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pPr>
      <w:widowControl/>
      <w:bidi w:val="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Style25" w:customStyle="1">
    <w:name w:val="Знак Знак Знак Знак Знак Знак Знак Знак Знак Знак"/>
    <w:basedOn w:val="Normal"/>
    <w:uiPriority w:val="99"/>
    <w:qFormat/>
    <w:pPr>
      <w:spacing w:lineRule="exact" w:line="24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Header"/>
    <w:basedOn w:val="Normal"/>
    <w:link w:val="Head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FooterChar"/>
    <w:uiPriority w:val="99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uiPriority w:val="99"/>
    <w:qFormat/>
    <w:pPr>
      <w:widowControl/>
      <w:bidi w:val="0"/>
      <w:jc w:val="left"/>
    </w:pPr>
    <w:rPr>
      <w:rFonts w:ascii="Arial" w:hAnsi="Arial" w:eastAsia="Calibri" w:cs="Arial"/>
      <w:color w:val="00000A"/>
      <w:kern w:val="0"/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99"/>
    <w:qFormat/>
    <w:pPr>
      <w:spacing w:before="0" w:after="160"/>
      <w:ind w:left="720" w:hanging="0"/>
      <w:contextualSpacing/>
    </w:pPr>
    <w:rPr/>
  </w:style>
  <w:style w:type="paragraph" w:styleId="Style28" w:customStyle="1">
    <w:name w:val="Содержимое таблицы"/>
    <w:basedOn w:val="Normal"/>
    <w:uiPriority w:val="99"/>
    <w:qFormat/>
    <w:pPr/>
    <w:rPr/>
  </w:style>
  <w:style w:type="paragraph" w:styleId="Style29" w:customStyle="1">
    <w:name w:val="Заголовок таблицы"/>
    <w:basedOn w:val="Style28"/>
    <w:uiPriority w:val="99"/>
    <w:qFormat/>
    <w:pPr/>
    <w:rPr/>
  </w:style>
  <w:style w:type="paragraph" w:styleId="Standard" w:customStyle="1">
    <w:name w:val="Standard"/>
    <w:uiPriority w:val="99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Calibri" w:cs="Tahoma"/>
      <w:color w:val="00000A"/>
      <w:kern w:val="0"/>
      <w:sz w:val="24"/>
      <w:szCs w:val="24"/>
      <w:lang w:val="ru-RU" w:eastAsia="zh-CN" w:bidi="ar-SA"/>
    </w:rPr>
  </w:style>
  <w:style w:type="paragraph" w:styleId="Style30">
    <w:name w:val="Subtitle"/>
    <w:basedOn w:val="Normal"/>
    <w:link w:val="SubtitleChar"/>
    <w:uiPriority w:val="99"/>
    <w:qFormat/>
    <w:pPr>
      <w:spacing w:lineRule="auto" w:line="240" w:before="0" w:after="240"/>
    </w:pPr>
    <w:rPr>
      <w:rFonts w:ascii="Cambria" w:hAnsi="Cambria" w:cs="Mangal"/>
      <w:color w:val="404040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3084</TotalTime>
  <Application>LibreOffice/5.4.4.2$Windows_x86 LibreOffice_project/2524958677847fb3bb44820e40380acbe820f960</Application>
  <Pages>8</Pages>
  <Words>1951</Words>
  <Characters>12932</Characters>
  <CharactersWithSpaces>14987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2015-06-01T04:12:00Z</dcterms:created>
  <dc:creator>User</dc:creator>
  <dc:description/>
  <dc:language>ru-RU</dc:language>
  <cp:lastModifiedBy/>
  <cp:lastPrinted>2018-07-17T12:18:10Z</cp:lastPrinted>
  <dcterms:modified xsi:type="dcterms:W3CDTF">2018-07-17T12:22:50Z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