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>
          <v:shape id="ole_rId2" style="width:56.95pt;height:74.4pt" o:ole="">
            <v:imagedata r:id="rId3" o:title=""/>
          </v:shape>
          <o:OLEObject Type="Embed" ProgID="" ShapeID="ole_rId2" DrawAspect="Content" ObjectID="_672199260" r:id="rId2"/>
        </w:object>
      </w:r>
    </w:p>
    <w:p>
      <w:pPr>
        <w:pStyle w:val="Style30"/>
        <w:spacing w:lineRule="auto" w:line="240" w:before="0" w:after="6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NoSpacing"/>
        <w:spacing w:lineRule="auto" w:line="276" w:before="0" w:after="0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highlight w:val="white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Гирвасского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1 квартал 2018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13  июля 2018 год                                                                                                        № 61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Анализ отчета об исполнении бюджета Гирвасского сельского поселения за </w:t>
      </w:r>
      <w:r>
        <w:rPr>
          <w:rFonts w:cs="Times New Roman" w:ascii="Times New Roman" w:hAnsi="Times New Roman"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квартал 2018 года подготовлен Контрольно-счетным органом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Решением Совета Кондопожского муниципального района от 18 марта 2015г. № 3 «Об образовании Контрольно-счетного органа Кондопожского муниципального района и утвержденным Положением о Контрольно-счетном органе Кондопожского муниципального района»</w:t>
      </w:r>
      <w:r>
        <w:rPr>
          <w:rFonts w:cs="Times New Roman" w:ascii="Times New Roman" w:hAnsi="Times New Roman"/>
          <w:color w:val="000000"/>
          <w:sz w:val="26"/>
          <w:szCs w:val="26"/>
        </w:rPr>
        <w:t>,  Положением о бюджетном процессе  в муниципальном образовании «Гирвасское</w:t>
      </w:r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 xml:space="preserve"> сельское поселение» от 18.04.2014 № 6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  <w:lang w:val="ru-RU"/>
        </w:rPr>
        <w:t>,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оглашением б/н от 27.12.2017года «О передаче Контрольно-счетному органу 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полномочий контрольно-счетного органа Гирвасского сельского поселения по осуществлению внешнего муниципального финансового контроля», пунктом 1.1</w:t>
      </w:r>
      <w:r>
        <w:rPr>
          <w:rFonts w:cs="Times New Roman" w:ascii="Times New Roman" w:hAnsi="Times New Roman"/>
          <w:color w:val="000000"/>
          <w:sz w:val="26"/>
          <w:szCs w:val="26"/>
        </w:rPr>
        <w:t>7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. плана работы Контрольно-счетного органа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на 2018 год.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Гирвасского сельского поселения использовались  данные отчета об исполнении бюджета Гирвасского сельского поселения 1 квартал 2018 года, за 1 квартал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  <w:lang w:eastAsia="ru-RU"/>
        </w:rPr>
        <w:t>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 РФ)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Отчет об исполнении бюджета Гирвасского сельского поселения за 1 квартал 2018 года утвержден Постановлением Администрации Гирвасского сельского поселения от 20.06.2018 № 39 (далее – отчет за 1 квартал 2018 года) и представлен в Контрольно-счетный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20.06.2018 года.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Согласно п. 8 ст. 38 Устава </w:t>
      </w:r>
      <w:bookmarkStart w:id="0" w:name="__DdeLink__1627_4049478386"/>
      <w:r>
        <w:rPr>
          <w:rFonts w:cs="Times New Roman" w:ascii="Times New Roman" w:hAnsi="Times New Roman"/>
          <w:sz w:val="26"/>
          <w:szCs w:val="26"/>
          <w:highlight w:val="white"/>
        </w:rPr>
        <w:t>Гирвасского сельского поселения</w:t>
      </w:r>
      <w:bookmarkEnd w:id="0"/>
      <w:r>
        <w:rPr>
          <w:rFonts w:cs="Times New Roman" w:ascii="Times New Roman" w:hAnsi="Times New Roman"/>
          <w:sz w:val="26"/>
          <w:szCs w:val="26"/>
          <w:highlight w:val="white"/>
        </w:rPr>
        <w:t>, и</w:t>
      </w:r>
      <w:r>
        <w:rPr>
          <w:rFonts w:cs="Times New Roman" w:ascii="Times New Roman" w:hAnsi="Times New Roman"/>
          <w:sz w:val="26"/>
          <w:szCs w:val="28"/>
          <w:highlight w:val="white"/>
        </w:rPr>
        <w:t xml:space="preserve">сточником официального опубликования муниципальных правовых актов является периодическое печатное издание, определяемое Советом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8"/>
          <w:highlight w:val="white"/>
        </w:rPr>
        <w:t>.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рок официального опубликования ежеквартальных сведений о ходе исполнения бюджета Гирвасского сельского поселения не установлен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bidi w:val="0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На момент проведения данного экспертно-аналитического мероприятия отчет за 1 квартал 2018 года опубликован в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официальном периодическом печатном издании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  <w:lang w:val="ru-RU" w:eastAsia="ru-RU"/>
        </w:rPr>
        <w:t xml:space="preserve">Гирвасского сельского поселения </w:t>
      </w:r>
      <w:r>
        <w:rPr>
          <w:rFonts w:cs="Times New Roman" w:ascii="Times New Roman" w:hAnsi="Times New Roman"/>
          <w:sz w:val="26"/>
          <w:szCs w:val="26"/>
          <w:lang w:val="ru-RU" w:eastAsia="ru-RU"/>
        </w:rPr>
        <w:t>«Вестнике» от 26 июня 2018 года № 14.</w:t>
      </w:r>
    </w:p>
    <w:p>
      <w:pPr>
        <w:pStyle w:val="Normal"/>
        <w:bidi w:val="0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исполнения бюджета установлено следующее: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утвержден Решением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11.12.2017 года № 3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Гирвасского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 xml:space="preserve">» (далее - Решение о бюджете).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 бюджете, 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на 2018 год утвержден по доходам в сумме 7 033,81 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7 188,40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Дефицит бюджета утвержден в сумме 154,59 тыс. рублей.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основании уведомлений Администрации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Кондопожского муниципального района увеличен объем межбюджетных трансфертов на сумму 232,73 тыс. рублей и доходы </w:t>
      </w:r>
      <w:r>
        <w:rPr>
          <w:rFonts w:cs="Times New Roman" w:ascii="Times New Roman" w:hAnsi="Times New Roman"/>
          <w:sz w:val="26"/>
          <w:szCs w:val="26"/>
        </w:rPr>
        <w:t>составили 7 266,54 тыс. рублей. На основании Распоряжения Финансового управления Администрации 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«О внесении изменений в сводную бюджетную роспись расходов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на 2018 год» от 28.02.2018 года № 81-р</w:t>
      </w:r>
      <w:r>
        <w:rPr>
          <w:rFonts w:cs="Times New Roman" w:ascii="Times New Roman" w:hAnsi="Times New Roman"/>
          <w:sz w:val="26"/>
          <w:szCs w:val="26"/>
        </w:rPr>
        <w:t xml:space="preserve">  утвержденные бюджетные назначения увеличились и составили по  расходам 7 421,13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Гирвасского сельского поселения за 1 квартал 2017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</w:rPr>
        <w:t>рублей</w:t>
      </w:r>
    </w:p>
    <w:tbl>
      <w:tblPr>
        <w:tblW w:w="9360" w:type="dxa"/>
        <w:jc w:val="left"/>
        <w:tblInd w:w="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695"/>
        <w:gridCol w:w="1365"/>
        <w:gridCol w:w="1185"/>
        <w:gridCol w:w="795"/>
        <w:gridCol w:w="1305"/>
        <w:gridCol w:w="1200"/>
        <w:gridCol w:w="794"/>
        <w:gridCol w:w="1020"/>
      </w:tblGrid>
      <w:tr>
        <w:trPr>
          <w:trHeight w:val="900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01.04.2018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01.04.2018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57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8369,07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1721,60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20,6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7266,54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1793,50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24,7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71,9</w:t>
            </w:r>
          </w:p>
        </w:tc>
      </w:tr>
      <w:tr>
        <w:trPr>
          <w:trHeight w:val="70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4397,07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1228,53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27,9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4690,81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1153,60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24,6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-74,9</w:t>
            </w:r>
          </w:p>
        </w:tc>
      </w:tr>
      <w:tr>
        <w:trPr>
          <w:trHeight w:val="55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3972,00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493,07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12,4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2575,73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639,90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24,8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146,8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8469,07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1423,07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16,8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7421,13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1443,75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19,5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20,7</w:t>
            </w:r>
          </w:p>
        </w:tc>
      </w:tr>
      <w:tr>
        <w:trPr>
          <w:trHeight w:val="92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-100,00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298,53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-154,59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349,75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51,2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на 1 апреля 2018 года в бюджет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Гирвасского сельского поселения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поступило всего доходов в сумме 1 793,50 тыс. </w:t>
      </w:r>
      <w:r>
        <w:rPr>
          <w:rFonts w:cs="Times New Roman" w:ascii="Times New Roman" w:hAnsi="Times New Roman"/>
          <w:sz w:val="26"/>
          <w:szCs w:val="26"/>
        </w:rPr>
        <w:t>рублей или 24,7 процента от утвержденных годовых назначений (7 266,54 тыс. рублей), в том числе: налоговые и неналоговые доходы в сумме 1 153,60 тыс. рублей или 24,6 процента от плановых назначений; безвозмездные поступления составили 639,90 тыс. рублей или 24,8 процента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соответствующим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>а 71,90 тыс.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безвозмездных  поступлений  на 146,8 тыс. рублей, в тоже время в 1 квартале 2018  поступило налоговых и   неналоговых   доходов   на  74,9  тыс. рублей меньше чем за аналогичный период прошлого года 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В общей сумме поступивших доходов по состоянию на 01.04.2018 года налоговые и неналоговые доходы составляют – 64,3 процента, безвозмездные поступления – 35,7 процента.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Гирвасского сельского поселения по доходам за 1 квартал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структуры налоговых и неналоговых доходов бюджета Гирвасского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</w:t>
      </w:r>
      <w:r>
        <w:rPr>
          <w:rFonts w:cs="Times New Roman" w:ascii="Times New Roman" w:hAnsi="Times New Roman"/>
          <w:sz w:val="26"/>
          <w:szCs w:val="26"/>
        </w:rPr>
        <w:t xml:space="preserve">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приходится на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highlight w:val="white"/>
          <w:u w:val="none"/>
          <w:em w:val="none"/>
        </w:rPr>
        <w:t xml:space="preserve"> налоги на товары (работы, услуги) реализуемые на территории РФ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— 35,8 процента, или 55,7 процентов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Поступления налогов на товары (работы, услуги) реализуемые на территории РФ  за 1 квартал текущего года составили 642,89 тыс.  или 26,2 процента от плановых назначений. По сравнению с 1 кварталом 2017 года поступления увеличились на 16,40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сравнении с аналогичным периодом прошлого года установлено снижение налоговых и неналоговых доходов по налогу на имущество, за 1 квартал 2018 года поступило 361,39 тыс. рублей, или 24,9 процента от годовых плановых назначений, что на 68,78 тыс. рублей меньше чем за аналогичный период прошлого года, удельный вес в общем объеме поступивших доходов составляет 20,2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Налоги на доходы физических лиц </w:t>
      </w:r>
      <w:bookmarkStart w:id="1" w:name="__DdeLink__3118_805788400"/>
      <w:r>
        <w:rPr>
          <w:rFonts w:cs="Times New Roman" w:ascii="Times New Roman" w:hAnsi="Times New Roman"/>
          <w:sz w:val="26"/>
          <w:szCs w:val="26"/>
        </w:rPr>
        <w:t>составляют 7,1 процента от общей суммы доходов бюджета, по сравнению с аналогичным периодом прошлого года, поступления также снизились на 20,86 тыс. рублей и составили 126,61 тыс. рублей или 18,1 процент</w:t>
      </w:r>
      <w:bookmarkEnd w:id="1"/>
      <w:r>
        <w:rPr>
          <w:rFonts w:cs="Times New Roman" w:ascii="Times New Roman" w:hAnsi="Times New Roman"/>
          <w:sz w:val="26"/>
          <w:szCs w:val="26"/>
        </w:rPr>
        <w:t>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оказания платных услуг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составили 22,70 тыс. рублей или 28,4 процента от годовых плановых назначений и 1,3 процента от общей суммы доходов бюджета, по сравнению с аналогичным периодом прошлого года, доходов поступило меньше на 1,70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долю безвозмездных поступлений приходится 35,7 процента в общем объеме доходов, поступивших в бюджет по состоянию на 1 апреля 2018 года, сумма поступлений составила 639,90 тыс. рублей, в том числе за счет безвозмездных поступлений от других бюджетов бюджетной системы Российской Федерации в сумме 639,90 тыс. рублей или 24,8 процента от плановых назначений. Общий объем безвозмездных поступлений по сравнению с аналогичным периодом прошлого года увеличился на 146,84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Расходы бюджета Гирвасского сельского поселения по состоянию на 01.04.2018 года составили 1 443,75 тыс. рублей или 19,45  процента от утвержденных бюджетных назначений на 2018 год. По сравнению с исполнением бюджета за 1 квартал прошлого года в целом расходы Гирвасского сельского поселения увеличились не значительно на 20,67 тыс. рублей.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квартал 2018года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W w:w="946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</w:tblPr>
      <w:tblGrid>
        <w:gridCol w:w="3465"/>
        <w:gridCol w:w="840"/>
        <w:gridCol w:w="1073"/>
        <w:gridCol w:w="1012"/>
        <w:gridCol w:w="1053"/>
        <w:gridCol w:w="852"/>
        <w:gridCol w:w="1169"/>
      </w:tblGrid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Наименование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01.04.2017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Отклонения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Общегосударственные расходы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273,870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317,828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43,958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13,535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11,536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-1,999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9,721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9,721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349,468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614,251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264,783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206,625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126,143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-80,482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Культура , кинематография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544,856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328,161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-216,695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34,716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36,105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1,389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rPr/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Расходы всего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1423,072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1443,746</w:t>
            </w:r>
          </w:p>
        </w:tc>
        <w:tc>
          <w:tcPr>
            <w:tcW w:w="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20,674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17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данным анализом  наибольший удельный вес в структуре расходов за 1 квартал 2018 года занимают расходы на национальную экономику – 42,5 процента. В аналогичном периоде 2017 года наибольший удельный вес  занимали расходы на </w:t>
      </w:r>
      <w:bookmarkStart w:id="2" w:name="__DdeLink__1660_4027912445"/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культуру и кинематографию</w:t>
      </w:r>
      <w:bookmarkEnd w:id="2"/>
      <w:r>
        <w:rPr>
          <w:rFonts w:cs="Times New Roman" w:ascii="Times New Roman" w:hAnsi="Times New Roman"/>
          <w:sz w:val="26"/>
          <w:szCs w:val="26"/>
        </w:rPr>
        <w:t xml:space="preserve"> – 38,3 процента.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Общегосударственные расходы составили 22,0 процента в общем объеме расходов за 1 квартал 2018 года,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оборону</w:t>
      </w:r>
      <w:r>
        <w:rPr>
          <w:rFonts w:cs="Times New Roman" w:ascii="Times New Roman" w:hAnsi="Times New Roman"/>
          <w:sz w:val="26"/>
          <w:szCs w:val="26"/>
        </w:rPr>
        <w:t xml:space="preserve"> – 0,8 процента,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безопасность и правоохранительную деятельность</w:t>
      </w:r>
      <w:r>
        <w:rPr>
          <w:rFonts w:cs="Times New Roman" w:ascii="Times New Roman" w:hAnsi="Times New Roman"/>
          <w:sz w:val="26"/>
          <w:szCs w:val="26"/>
        </w:rPr>
        <w:t xml:space="preserve"> — 0,7 процента, на 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илищно-коммунальное хозяйство — 8,7 процента, на культуру и кинематографию – 22,7 процента,</w:t>
      </w:r>
      <w:r>
        <w:rPr>
          <w:rFonts w:cs="Times New Roman" w:ascii="Times New Roman" w:hAnsi="Times New Roman"/>
          <w:sz w:val="26"/>
          <w:szCs w:val="26"/>
        </w:rPr>
        <w:t xml:space="preserve"> на социальную политику – 2,5 процента. 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Анализ исполнение бюджета Гирвасского сельского поселения по расходам за 1 квартал 2018 года по разделам, подразделам бюджетной классификации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среднем уровне исполнения плановых назначений по расходам в размере 19,</w:t>
      </w:r>
      <w:r>
        <w:rPr>
          <w:rFonts w:cs="Times New Roman" w:ascii="Times New Roman" w:hAnsi="Times New Roman"/>
          <w:sz w:val="26"/>
          <w:szCs w:val="26"/>
          <w:highlight w:val="white"/>
        </w:rPr>
        <w:t>4</w:t>
      </w:r>
      <w:r>
        <w:rPr>
          <w:rFonts w:cs="Times New Roman" w:ascii="Times New Roman" w:hAnsi="Times New Roman"/>
          <w:sz w:val="26"/>
          <w:szCs w:val="26"/>
          <w:highlight w:val="white"/>
        </w:rPr>
        <w:t>5 процента, уровень исполнения по разделам сложился от 13,7 процента («Ж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илищно-коммунальное хозяйство</w:t>
      </w:r>
      <w:r>
        <w:rPr>
          <w:rFonts w:cs="Times New Roman" w:ascii="Times New Roman" w:hAnsi="Times New Roman"/>
          <w:sz w:val="26"/>
          <w:szCs w:val="26"/>
          <w:highlight w:val="white"/>
        </w:rPr>
        <w:t>») до 25,0 процента («</w:t>
      </w:r>
      <w:r>
        <w:rPr>
          <w:rFonts w:cs="Times New Roman" w:ascii="Times New Roman" w:hAnsi="Times New Roman"/>
          <w:sz w:val="26"/>
          <w:szCs w:val="26"/>
          <w:highlight w:val="white"/>
        </w:rPr>
        <w:t>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ациональная экономика</w:t>
      </w:r>
      <w:r>
        <w:rPr>
          <w:rFonts w:cs="Times New Roman" w:ascii="Times New Roman" w:hAnsi="Times New Roman"/>
          <w:sz w:val="26"/>
          <w:szCs w:val="26"/>
          <w:highlight w:val="white"/>
        </w:rPr>
        <w:t>»).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 в 1 квартале 2018 года объем расходования средств увеличился в сравнении с аналогичным периодом прошлого года.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Наибольшее увеличение расходов в сравнении с аналогичным периодом прошлого года, сложилось по разделу «Н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ациональная экономика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 подраздел «Дорожное хозяйство (дорожные фонды)» на сумму 264,78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В сторону уменьшения наибольшее отклонение исполнения расходов сложилось по разделу «К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ультура и кинематография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» подраздел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«Культура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»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на сумму 216,69 тыс. рублей.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Исполнение бюджета Гирвасского сельского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квартал 2018 года в разрезе сгруппированных по видам расходов представлено ниже: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ListParagraph"/>
        <w:spacing w:lineRule="auto" w:line="240" w:before="0" w:after="0"/>
        <w:ind w:left="0" w:firstLine="737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7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892"/>
        <w:gridCol w:w="3356"/>
        <w:gridCol w:w="1122"/>
        <w:gridCol w:w="1069"/>
        <w:gridCol w:w="1082"/>
        <w:gridCol w:w="918"/>
        <w:gridCol w:w="920"/>
      </w:tblGrid>
      <w:tr>
        <w:trPr>
          <w:trHeight w:val="79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Группы видов расходов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Утверждено на 01.04.2018г.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Исполнение за 1 квартал 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% исполнения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2467,75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33,2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401,23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16,3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4531,31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61,1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956,04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21,1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обеспечениеи иные выплаты населению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208,30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36,11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50,37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0,7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50,37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163,40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2,2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7421,13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1443,75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19,45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Анализ данных показывает, что исполнение бюджета в анализируемом периоде в разрезе видов расходов, ниже квартальных значений (25%), за исключением расходов по межбюджетным трансфертам процент исполнения по которым составил 100 процентов. При наличии утвержденных бюджетных ассигнований по и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ным бюджетным ассигнованиям</w:t>
      </w:r>
      <w:r>
        <w:rPr>
          <w:rFonts w:cs="Times New Roman" w:ascii="Times New Roman" w:hAnsi="Times New Roman"/>
          <w:sz w:val="26"/>
          <w:szCs w:val="26"/>
          <w:highlight w:val="white"/>
        </w:rPr>
        <w:t>, расходование средств в 1 квартале 2018 года не осуществлялось. Наибольшую долю в общих расходах занимает з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акупка товаров, работ и услуг для муниципальных нужд 66,2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итогам 1 квартала 2018 года бюджет Гирвасского сельского поселения исполнен с проф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>цитом в сумме  349,75 тыс. рублей.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Гирвасского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Согласно Сведениям по дебиторской и кредиторской задолженности (ф.0503169) дебиторская задолженность на 01.04.2018 года по сравнению с данными на 01.01.2018 года, 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увеличилась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30,14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919,48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просроченная дебиторская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снизилась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117,94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и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654,21 тыс. рублей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. В сравнении с аналогичным периодом прошлого года дебиторская задолженность снизилась на 15 %.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Кредиторская задолженность на 01.04.2018 года составила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847,65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рублей, на 01.01.2018 года задолженность составляла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744,55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 кредиторская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возросла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103,1</w:t>
      </w: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 тыс. рублей.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В сравнении с аналогичным периодом прошлого года кредиторская задолженность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также возросла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на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>5,6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%.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В ходе анализа проверено соблюдение общих требований по составлению и формированию бюджетной отчетности, установленных вышеуказанной инструкцией. Нарушений не установлено.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квартал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01.04.2018 года, расхождений не установлено.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</w:rPr>
        <w:t>Замечаний и недостатков, допущенных при формировании бюджетной отчетности, повлиявших на ее достоверность  не установлено.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проверки отчёта об исполнении бюджета </w:t>
      </w:r>
      <w:bookmarkStart w:id="3" w:name="__DdeLink__998_1168077530"/>
      <w:r>
        <w:rPr>
          <w:rFonts w:ascii="Times New Roman" w:hAnsi="Times New Roman"/>
          <w:sz w:val="26"/>
          <w:szCs w:val="26"/>
        </w:rPr>
        <w:t>Гирвасского сельского поселения за 1 квартал 2018 года</w:t>
      </w:r>
      <w:bookmarkEnd w:id="3"/>
      <w:r>
        <w:rPr>
          <w:rFonts w:ascii="Times New Roman" w:hAnsi="Times New Roman"/>
          <w:sz w:val="26"/>
          <w:szCs w:val="26"/>
        </w:rPr>
        <w:t xml:space="preserve"> Контрольно-счётный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считает, что отчёт об исполнении бюджета Гирвасского сельского поселения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 xml:space="preserve">Отчет об исполнении бюджета Гирвасского сельского поселения за 1 квартал 2018 года опубликован в </w:t>
      </w:r>
      <w:r>
        <w:rPr>
          <w:rStyle w:val="Style17"/>
          <w:rFonts w:cs="Times New Roman" w:ascii="Times New Roman" w:hAnsi="Times New Roman"/>
          <w:sz w:val="26"/>
          <w:szCs w:val="26"/>
          <w:lang w:val="ru-RU" w:eastAsia="ru-RU"/>
        </w:rPr>
        <w:t xml:space="preserve">периодическом печатном издании.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140" w:leader="none"/>
        </w:tabs>
        <w:spacing w:lineRule="auto" w:line="276" w:before="0" w:after="0"/>
        <w:ind w:left="720" w:hanging="0"/>
        <w:jc w:val="both"/>
        <w:rPr>
          <w:rStyle w:val="Style17"/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left" w:pos="630" w:leader="none"/>
        </w:tabs>
        <w:spacing w:lineRule="auto" w:line="276" w:before="0" w:after="4"/>
        <w:ind w:firstLine="57"/>
        <w:jc w:val="both"/>
        <w:rPr>
          <w:rStyle w:val="Style17"/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Гирвасского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за 1 квартал 2018года в адрес:</w:t>
      </w:r>
    </w:p>
    <w:p>
      <w:pPr>
        <w:pStyle w:val="Normal"/>
        <w:spacing w:lineRule="auto" w:line="276" w:before="0" w:after="46"/>
        <w:ind w:firstLine="680"/>
        <w:jc w:val="both"/>
        <w:rPr>
          <w:rFonts w:ascii="Times New Roman" w:hAnsi="Times New Roman" w:cs="Times New Roman"/>
          <w:sz w:val="26"/>
          <w:szCs w:val="26"/>
          <w:highlight w:val="white"/>
          <w:lang w:eastAsia="ru-RU"/>
        </w:rPr>
      </w:pP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</w:r>
    </w:p>
    <w:p>
      <w:pPr>
        <w:pStyle w:val="Normal"/>
        <w:spacing w:lineRule="auto" w:line="276" w:before="0" w:after="46"/>
        <w:ind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Гирвасского сельского поселения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И.о. Председателя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bookmarkStart w:id="4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bookmarkEnd w:id="4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   И.В. Демидова                   </w:t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qFormat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Style17" w:customStyle="1">
    <w:name w:val="Основной текст Знак"/>
    <w:uiPriority w:val="99"/>
    <w:qFormat/>
    <w:rPr>
      <w:sz w:val="23"/>
      <w:shd w:fill="FFFFFF" w:val="clear"/>
    </w:rPr>
  </w:style>
  <w:style w:type="character" w:styleId="ListLabel14" w:customStyle="1">
    <w:name w:val="ListLabel 14"/>
    <w:uiPriority w:val="99"/>
    <w:qFormat/>
    <w:rPr>
      <w:sz w:val="28"/>
    </w:rPr>
  </w:style>
  <w:style w:type="character" w:styleId="Style18" w:customStyle="1">
    <w:name w:val="Символ нумерации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color w:val="00000A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 w:customStyle="1">
    <w:name w:val="ListLabel 15"/>
    <w:uiPriority w:val="99"/>
    <w:qFormat/>
    <w:rsid w:val="00790dda"/>
    <w:rPr/>
  </w:style>
  <w:style w:type="character" w:styleId="ListLabel16" w:customStyle="1">
    <w:name w:val="ListLabel 16"/>
    <w:uiPriority w:val="99"/>
    <w:qFormat/>
    <w:rsid w:val="00790dda"/>
    <w:rPr/>
  </w:style>
  <w:style w:type="character" w:styleId="ListLabel17" w:customStyle="1">
    <w:name w:val="ListLabel 17"/>
    <w:uiPriority w:val="99"/>
    <w:qFormat/>
    <w:rsid w:val="00790dda"/>
    <w:rPr/>
  </w:style>
  <w:style w:type="character" w:styleId="ListLabel18" w:customStyle="1">
    <w:name w:val="ListLabel 18"/>
    <w:uiPriority w:val="99"/>
    <w:qFormat/>
    <w:rsid w:val="00790dda"/>
    <w:rPr/>
  </w:style>
  <w:style w:type="character" w:styleId="ListLabel19" w:customStyle="1">
    <w:name w:val="ListLabel 19"/>
    <w:uiPriority w:val="99"/>
    <w:qFormat/>
    <w:rsid w:val="00790dda"/>
    <w:rPr/>
  </w:style>
  <w:style w:type="character" w:styleId="ListLabel20" w:customStyle="1">
    <w:name w:val="ListLabel 20"/>
    <w:uiPriority w:val="99"/>
    <w:qFormat/>
    <w:rsid w:val="00790dda"/>
    <w:rPr/>
  </w:style>
  <w:style w:type="character" w:styleId="ListLabel21" w:customStyle="1">
    <w:name w:val="ListLabel 21"/>
    <w:uiPriority w:val="99"/>
    <w:qFormat/>
    <w:rsid w:val="00790dda"/>
    <w:rPr/>
  </w:style>
  <w:style w:type="character" w:styleId="ListLabel22" w:customStyle="1">
    <w:name w:val="ListLabel 22"/>
    <w:uiPriority w:val="99"/>
    <w:qFormat/>
    <w:rsid w:val="00790dda"/>
    <w:rPr/>
  </w:style>
  <w:style w:type="character" w:styleId="ListLabel23" w:customStyle="1">
    <w:name w:val="ListLabel 23"/>
    <w:uiPriority w:val="99"/>
    <w:qFormat/>
    <w:rsid w:val="00790dda"/>
    <w:rPr/>
  </w:style>
  <w:style w:type="character" w:styleId="ListLabel24" w:customStyle="1">
    <w:name w:val="ListLabel 24"/>
    <w:uiPriority w:val="99"/>
    <w:qFormat/>
    <w:rsid w:val="00790dda"/>
    <w:rPr/>
  </w:style>
  <w:style w:type="character" w:styleId="ListLabel25" w:customStyle="1">
    <w:name w:val="ListLabel 25"/>
    <w:uiPriority w:val="99"/>
    <w:qFormat/>
    <w:rsid w:val="00790dda"/>
    <w:rPr/>
  </w:style>
  <w:style w:type="character" w:styleId="ListLabel26" w:customStyle="1">
    <w:name w:val="ListLabel 26"/>
    <w:uiPriority w:val="99"/>
    <w:qFormat/>
    <w:rsid w:val="00790dda"/>
    <w:rPr/>
  </w:style>
  <w:style w:type="character" w:styleId="ListLabel27" w:customStyle="1">
    <w:name w:val="ListLabel 27"/>
    <w:uiPriority w:val="99"/>
    <w:qFormat/>
    <w:rsid w:val="00790dda"/>
    <w:rPr/>
  </w:style>
  <w:style w:type="character" w:styleId="ListLabel28" w:customStyle="1">
    <w:name w:val="ListLabel 28"/>
    <w:uiPriority w:val="99"/>
    <w:qFormat/>
    <w:rsid w:val="00790dda"/>
    <w:rPr/>
  </w:style>
  <w:style w:type="character" w:styleId="ListLabel29" w:customStyle="1">
    <w:name w:val="ListLabel 29"/>
    <w:uiPriority w:val="99"/>
    <w:qFormat/>
    <w:rsid w:val="00790dda"/>
    <w:rPr/>
  </w:style>
  <w:style w:type="character" w:styleId="ListLabel30" w:customStyle="1">
    <w:name w:val="ListLabel 30"/>
    <w:uiPriority w:val="99"/>
    <w:qFormat/>
    <w:rsid w:val="00790dda"/>
    <w:rPr/>
  </w:style>
  <w:style w:type="character" w:styleId="ListLabel31" w:customStyle="1">
    <w:name w:val="ListLabel 31"/>
    <w:uiPriority w:val="99"/>
    <w:qFormat/>
    <w:rsid w:val="00790dda"/>
    <w:rPr/>
  </w:style>
  <w:style w:type="character" w:styleId="ListLabel32" w:customStyle="1">
    <w:name w:val="ListLabel 32"/>
    <w:uiPriority w:val="99"/>
    <w:qFormat/>
    <w:rsid w:val="00790dda"/>
    <w:rPr/>
  </w:style>
  <w:style w:type="character" w:styleId="ListLabel33" w:customStyle="1">
    <w:name w:val="ListLabel 33"/>
    <w:uiPriority w:val="99"/>
    <w:qFormat/>
    <w:rsid w:val="00790dda"/>
    <w:rPr/>
  </w:style>
  <w:style w:type="character" w:styleId="ListLabel34" w:customStyle="1">
    <w:name w:val="ListLabel 34"/>
    <w:uiPriority w:val="99"/>
    <w:qFormat/>
    <w:rsid w:val="00790dda"/>
    <w:rPr/>
  </w:style>
  <w:style w:type="character" w:styleId="ListLabel35" w:customStyle="1">
    <w:name w:val="ListLabel 35"/>
    <w:uiPriority w:val="99"/>
    <w:qFormat/>
    <w:rsid w:val="00790dda"/>
    <w:rPr/>
  </w:style>
  <w:style w:type="character" w:styleId="ListLabel36" w:customStyle="1">
    <w:name w:val="ListLabel 36"/>
    <w:uiPriority w:val="99"/>
    <w:qFormat/>
    <w:rsid w:val="00790dda"/>
    <w:rPr/>
  </w:style>
  <w:style w:type="character" w:styleId="ListLabel37" w:customStyle="1">
    <w:name w:val="ListLabel 37"/>
    <w:uiPriority w:val="99"/>
    <w:qFormat/>
    <w:rsid w:val="00790dda"/>
    <w:rPr/>
  </w:style>
  <w:style w:type="character" w:styleId="ListLabel38" w:customStyle="1">
    <w:name w:val="ListLabel 38"/>
    <w:uiPriority w:val="99"/>
    <w:qFormat/>
    <w:rsid w:val="00790dda"/>
    <w:rPr/>
  </w:style>
  <w:style w:type="character" w:styleId="ListLabel39" w:customStyle="1">
    <w:name w:val="ListLabel 39"/>
    <w:uiPriority w:val="99"/>
    <w:qFormat/>
    <w:rsid w:val="00790dda"/>
    <w:rPr/>
  </w:style>
  <w:style w:type="character" w:styleId="ListLabel40" w:customStyle="1">
    <w:name w:val="ListLabel 40"/>
    <w:uiPriority w:val="99"/>
    <w:qFormat/>
    <w:rsid w:val="00790dda"/>
    <w:rPr/>
  </w:style>
  <w:style w:type="character" w:styleId="ListLabel41" w:customStyle="1">
    <w:name w:val="ListLabel 41"/>
    <w:uiPriority w:val="99"/>
    <w:qFormat/>
    <w:rsid w:val="00790dda"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d11674"/>
    <w:rPr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11674"/>
    <w:rPr>
      <w:rFonts w:ascii="Times New Roman" w:hAnsi="Times New Roman"/>
      <w:color w:val="00000A"/>
      <w:sz w:val="0"/>
      <w:szCs w:val="0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11674"/>
    <w:rPr>
      <w:color w:val="00000A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11674"/>
    <w:rPr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d1167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95">
    <w:name w:val="ListLabel 195"/>
    <w:qFormat/>
    <w:rPr>
      <w:rFonts w:cs="Times New Roman"/>
      <w:sz w:val="22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2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sz w:val="22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2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2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2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2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2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2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  <w:sz w:val="22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sz w:val="22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paragraph" w:styleId="Style20" w:customStyle="1">
    <w:name w:val="Заголовок"/>
    <w:basedOn w:val="Normal"/>
    <w:next w:val="Style21"/>
    <w:uiPriority w:val="99"/>
    <w:qFormat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1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22">
    <w:name w:val="List"/>
    <w:basedOn w:val="Style21"/>
    <w:uiPriority w:val="99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0dda"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Style25" w:customStyle="1">
    <w:name w:val="Знак Знак Знак Знак Знак Знак Знак Знак Знак Знак"/>
    <w:basedOn w:val="Normal"/>
    <w:uiPriority w:val="99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Foot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pPr>
      <w:widowControl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99"/>
    <w:qFormat/>
    <w:pPr>
      <w:spacing w:before="0" w:after="160"/>
      <w:ind w:left="720" w:hanging="0"/>
      <w:contextualSpacing/>
    </w:pPr>
    <w:rPr/>
  </w:style>
  <w:style w:type="paragraph" w:styleId="Style28" w:customStyle="1">
    <w:name w:val="Содержимое таблицы"/>
    <w:basedOn w:val="Normal"/>
    <w:uiPriority w:val="99"/>
    <w:qFormat/>
    <w:pPr/>
    <w:rPr/>
  </w:style>
  <w:style w:type="paragraph" w:styleId="Style29" w:customStyle="1">
    <w:name w:val="Заголовок таблицы"/>
    <w:basedOn w:val="Style28"/>
    <w:uiPriority w:val="99"/>
    <w:qFormat/>
    <w:pPr/>
    <w:rPr/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zh-CN" w:bidi="ar-SA"/>
    </w:rPr>
  </w:style>
  <w:style w:type="paragraph" w:styleId="Style30">
    <w:name w:val="Subtitle"/>
    <w:basedOn w:val="Normal"/>
    <w:link w:val="SubtitleChar"/>
    <w:uiPriority w:val="99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2973</TotalTime>
  <Application>LibreOffice/5.4.4.2$Windows_x86 LibreOffice_project/2524958677847fb3bb44820e40380acbe820f960</Application>
  <Pages>8</Pages>
  <Words>1969</Words>
  <Characters>12928</Characters>
  <CharactersWithSpaces>15010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2018-07-11T09:19:13Z</cp:lastPrinted>
  <dcterms:modified xsi:type="dcterms:W3CDTF">2018-07-13T12:35:10Z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