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embeddings/oleObject1.bin" ContentType="application/vnd.openxmlformats-officedocument.oleObject"/>
  <Override PartName="/word/media/image1.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 w:hanging="0"/>
        <w:jc w:val="center"/>
        <w:rPr/>
      </w:pPr>
      <w:r>
        <w:rPr/>
        <w:object>
          <v:shape id="ole_rId2" style="width:56.95pt;height:74.4pt" o:ole="">
            <v:imagedata r:id="rId3" o:title=""/>
          </v:shape>
          <o:OLEObject Type="Embed" ProgID="" ShapeID="ole_rId2" DrawAspect="Content" ObjectID="_227515202" r:id="rId2"/>
        </w:object>
      </w:r>
    </w:p>
    <w:p>
      <w:pPr>
        <w:pStyle w:val="Style30"/>
        <w:spacing w:lineRule="auto" w:line="240" w:before="0" w:after="69"/>
        <w:jc w:val="center"/>
        <w:rPr/>
      </w:pPr>
      <w:r>
        <w:rPr>
          <w:rFonts w:cs="Times New Roman" w:ascii="Times New Roman" w:hAnsi="Times New Roman"/>
          <w:sz w:val="28"/>
          <w:szCs w:val="28"/>
        </w:rPr>
        <w:t>Республика Карелия</w:t>
      </w:r>
    </w:p>
    <w:p>
      <w:pPr>
        <w:pStyle w:val="Style30"/>
        <w:spacing w:lineRule="auto" w:line="240" w:before="0" w:after="69"/>
        <w:jc w:val="center"/>
        <w:rPr>
          <w:rFonts w:ascii="Times New Roman" w:hAnsi="Times New Roman" w:cs="Times New Roman"/>
          <w:sz w:val="28"/>
          <w:szCs w:val="28"/>
        </w:rPr>
      </w:pPr>
      <w:r>
        <w:rPr>
          <w:rFonts w:cs="Times New Roman" w:ascii="Times New Roman" w:hAnsi="Times New Roman"/>
          <w:sz w:val="28"/>
          <w:szCs w:val="28"/>
        </w:rPr>
        <w:t>Контрольно-счетный орган</w:t>
      </w:r>
    </w:p>
    <w:p>
      <w:pPr>
        <w:pStyle w:val="NoSpacing"/>
        <w:spacing w:lineRule="auto" w:line="276" w:before="0" w:after="0"/>
        <w:ind w:firstLine="709"/>
        <w:jc w:val="center"/>
        <w:rPr>
          <w:sz w:val="28"/>
          <w:szCs w:val="28"/>
        </w:rPr>
      </w:pPr>
      <w:r>
        <w:rPr>
          <w:rFonts w:cs="Times New Roman" w:ascii="Times New Roman" w:hAnsi="Times New Roman"/>
          <w:color w:val="00000A"/>
          <w:sz w:val="28"/>
          <w:szCs w:val="28"/>
          <w:highlight w:val="white"/>
          <w:lang w:eastAsia="ru-RU"/>
        </w:rPr>
        <w:t>Кондопожского муниципального района</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pPr>
      <w:r>
        <w:rPr>
          <w:rFonts w:cs="Times New Roman" w:ascii="Times New Roman" w:hAnsi="Times New Roman"/>
          <w:b/>
          <w:sz w:val="28"/>
          <w:szCs w:val="28"/>
        </w:rPr>
        <w:t>ЗАКЛЮЧЕНИЕ</w:t>
      </w:r>
    </w:p>
    <w:p>
      <w:pPr>
        <w:pStyle w:val="Normal"/>
        <w:spacing w:lineRule="auto" w:line="240" w:before="0" w:after="0"/>
        <w:jc w:val="center"/>
        <w:rPr/>
      </w:pPr>
      <w:r>
        <w:rPr>
          <w:rFonts w:cs="Times New Roman" w:ascii="Times New Roman" w:hAnsi="Times New Roman"/>
          <w:b/>
          <w:sz w:val="28"/>
          <w:szCs w:val="28"/>
        </w:rPr>
        <w:t xml:space="preserve">по анализу отчета об исполнении бюджета </w:t>
      </w:r>
    </w:p>
    <w:p>
      <w:pPr>
        <w:pStyle w:val="Normal"/>
        <w:spacing w:lineRule="auto" w:line="240" w:before="0" w:after="0"/>
        <w:jc w:val="center"/>
        <w:rPr/>
      </w:pPr>
      <w:r>
        <w:rPr>
          <w:rFonts w:cs="Times New Roman" w:ascii="Times New Roman" w:hAnsi="Times New Roman"/>
          <w:b/>
          <w:sz w:val="28"/>
          <w:szCs w:val="24"/>
          <w:lang w:eastAsia="ru-RU"/>
        </w:rPr>
        <w:t>Кончезерского сельского поселения</w:t>
      </w:r>
    </w:p>
    <w:p>
      <w:pPr>
        <w:pStyle w:val="Normal"/>
        <w:spacing w:lineRule="auto" w:line="240" w:before="0" w:after="0"/>
        <w:jc w:val="center"/>
        <w:rPr/>
      </w:pPr>
      <w:r>
        <w:rPr>
          <w:rFonts w:cs="Times New Roman" w:ascii="Times New Roman" w:hAnsi="Times New Roman"/>
          <w:b/>
          <w:sz w:val="28"/>
          <w:szCs w:val="28"/>
        </w:rPr>
        <w:t>за 1 квартал 2018 года</w:t>
      </w:r>
    </w:p>
    <w:p>
      <w:pPr>
        <w:pStyle w:val="Normal"/>
        <w:spacing w:lineRule="auto" w:line="240" w:before="0" w:after="0"/>
        <w:rPr/>
      </w:pPr>
      <w:r>
        <w:rPr>
          <w:rFonts w:cs="Times New Roman" w:ascii="Times New Roman" w:hAnsi="Times New Roman"/>
          <w:sz w:val="28"/>
          <w:szCs w:val="28"/>
        </w:rPr>
        <w:t xml:space="preserve">                                                                         </w:t>
      </w:r>
    </w:p>
    <w:p>
      <w:pPr>
        <w:pStyle w:val="Normal"/>
        <w:spacing w:lineRule="auto" w:line="240" w:before="0" w:after="0"/>
        <w:jc w:val="both"/>
        <w:rPr/>
      </w:pPr>
      <w:r>
        <w:rPr>
          <w:rFonts w:cs="Times New Roman" w:ascii="Times New Roman" w:hAnsi="Times New Roman"/>
          <w:b w:val="false"/>
          <w:bCs w:val="false"/>
          <w:sz w:val="26"/>
          <w:szCs w:val="26"/>
        </w:rPr>
        <w:t>10  июля 2018 год                                                                                                        № 56</w:t>
      </w:r>
    </w:p>
    <w:p>
      <w:pPr>
        <w:pStyle w:val="Normal"/>
        <w:spacing w:lineRule="auto" w:line="240" w:before="0" w:after="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Spacing"/>
        <w:spacing w:lineRule="auto" w:line="276"/>
        <w:ind w:firstLine="709"/>
        <w:jc w:val="both"/>
        <w:rPr/>
      </w:pPr>
      <w:r>
        <w:rPr>
          <w:rFonts w:cs="Times New Roman" w:ascii="Times New Roman" w:hAnsi="Times New Roman"/>
          <w:sz w:val="26"/>
          <w:szCs w:val="26"/>
        </w:rPr>
        <w:t xml:space="preserve">Анализ отчета об исполнении бюджета </w:t>
      </w:r>
      <w:bookmarkStart w:id="0" w:name="__DdeLink__508_2128369881"/>
      <w:r>
        <w:rPr>
          <w:rFonts w:cs="Times New Roman" w:ascii="Times New Roman" w:hAnsi="Times New Roman"/>
          <w:sz w:val="26"/>
          <w:szCs w:val="26"/>
        </w:rPr>
        <w:t>Кончезерского сельского</w:t>
      </w:r>
      <w:bookmarkEnd w:id="0"/>
      <w:r>
        <w:rPr>
          <w:rFonts w:cs="Times New Roman" w:ascii="Times New Roman" w:hAnsi="Times New Roman"/>
          <w:sz w:val="26"/>
          <w:szCs w:val="26"/>
        </w:rPr>
        <w:t xml:space="preserve"> поселения за </w:t>
      </w:r>
      <w:r>
        <w:rPr>
          <w:rFonts w:cs="Times New Roman" w:ascii="Times New Roman" w:hAnsi="Times New Roman"/>
          <w:sz w:val="26"/>
          <w:szCs w:val="26"/>
          <w:lang w:val="en-US"/>
        </w:rPr>
        <w:t>I</w:t>
      </w:r>
      <w:r>
        <w:rPr>
          <w:rFonts w:cs="Times New Roman" w:ascii="Times New Roman" w:hAnsi="Times New Roman"/>
          <w:sz w:val="26"/>
          <w:szCs w:val="26"/>
        </w:rPr>
        <w:t xml:space="preserve"> квартал 2018 года подготовлен Контрольно-счетным органом </w:t>
      </w:r>
      <w:r>
        <w:rPr>
          <w:rFonts w:cs="Times New Roman" w:ascii="Times New Roman" w:hAnsi="Times New Roman"/>
          <w:sz w:val="26"/>
          <w:szCs w:val="26"/>
          <w:highlight w:val="white"/>
        </w:rPr>
        <w:t>Кондопожского муниципального района</w:t>
      </w:r>
      <w:r>
        <w:rPr>
          <w:rFonts w:cs="Times New Roman" w:ascii="Times New Roman" w:hAnsi="Times New Roman"/>
          <w:sz w:val="26"/>
          <w:szCs w:val="26"/>
        </w:rPr>
        <w:t xml:space="preserve"> в соответствии с Бюджетным Кодексом Российской Федерации, Федеральным Законом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Pr>
          <w:rFonts w:cs="Times New Roman" w:ascii="Times New Roman" w:hAnsi="Times New Roman"/>
          <w:sz w:val="26"/>
          <w:szCs w:val="26"/>
          <w:highlight w:val="white"/>
        </w:rPr>
        <w:t>Решением Совета Кондопожского муниципального района от 18 марта 2015г. № 3 «Об образовании Контрольно-счетного органа Кондопожского муниципального района и утвержденным Положением о Контрольно-счетном органе Кондопожского муниципального района»</w:t>
      </w:r>
      <w:r>
        <w:rPr>
          <w:rFonts w:cs="Times New Roman" w:ascii="Times New Roman" w:hAnsi="Times New Roman"/>
          <w:sz w:val="26"/>
          <w:szCs w:val="26"/>
        </w:rPr>
        <w:t xml:space="preserve">, </w:t>
      </w:r>
      <w:r>
        <w:rPr>
          <w:rFonts w:cs="Times New Roman" w:ascii="Times New Roman" w:hAnsi="Times New Roman"/>
          <w:color w:val="052635"/>
          <w:sz w:val="26"/>
          <w:szCs w:val="26"/>
        </w:rPr>
        <w:t xml:space="preserve"> Положением о бюджетном процессе от 12</w:t>
      </w:r>
      <w:r>
        <w:rPr>
          <w:rFonts w:cs="Times New Roman" w:ascii="Times New Roman" w:hAnsi="Times New Roman"/>
          <w:color w:val="052635"/>
          <w:sz w:val="26"/>
          <w:szCs w:val="26"/>
          <w:lang w:val="ru-RU"/>
        </w:rPr>
        <w:t>.11.2015</w:t>
      </w:r>
      <w:r>
        <w:rPr>
          <w:rFonts w:cs="Times New Roman" w:ascii="Times New Roman" w:hAnsi="Times New Roman"/>
          <w:color w:val="052635"/>
          <w:sz w:val="26"/>
          <w:szCs w:val="26"/>
        </w:rPr>
        <w:t xml:space="preserve"> года № </w:t>
      </w:r>
      <w:r>
        <w:rPr>
          <w:rFonts w:cs="Times New Roman" w:ascii="Times New Roman" w:hAnsi="Times New Roman"/>
          <w:color w:val="052635"/>
          <w:sz w:val="26"/>
          <w:szCs w:val="26"/>
          <w:lang w:val="ru-RU"/>
        </w:rPr>
        <w:t>52</w:t>
      </w:r>
      <w:r>
        <w:rPr>
          <w:rFonts w:cs="Times New Roman" w:ascii="Times New Roman" w:hAnsi="Times New Roman"/>
          <w:color w:val="052635"/>
          <w:sz w:val="26"/>
          <w:szCs w:val="26"/>
        </w:rPr>
        <w:t xml:space="preserve"> в </w:t>
      </w:r>
      <w:r>
        <w:rPr>
          <w:rFonts w:cs="Times New Roman" w:ascii="Times New Roman" w:hAnsi="Times New Roman"/>
          <w:color w:val="052635"/>
          <w:sz w:val="26"/>
          <w:szCs w:val="26"/>
          <w:lang w:val="ru-RU"/>
        </w:rPr>
        <w:t>Кончезерском сельском поселении</w:t>
      </w:r>
      <w:r>
        <w:rPr>
          <w:rFonts w:cs="Times New Roman" w:ascii="Times New Roman" w:hAnsi="Times New Roman"/>
          <w:color w:val="052635"/>
          <w:sz w:val="26"/>
          <w:szCs w:val="26"/>
          <w:highlight w:val="white"/>
          <w:lang w:val="ru-RU"/>
        </w:rPr>
        <w:t>,</w:t>
      </w:r>
      <w:r>
        <w:rPr>
          <w:rFonts w:cs="Times New Roman" w:ascii="Times New Roman" w:hAnsi="Times New Roman"/>
          <w:color w:val="052635"/>
          <w:sz w:val="26"/>
          <w:szCs w:val="26"/>
          <w:highlight w:val="white"/>
        </w:rPr>
        <w:t xml:space="preserve"> С</w:t>
      </w:r>
      <w:r>
        <w:rPr>
          <w:rFonts w:cs="Times New Roman" w:ascii="Times New Roman" w:hAnsi="Times New Roman"/>
          <w:color w:val="052635"/>
          <w:sz w:val="26"/>
          <w:szCs w:val="26"/>
        </w:rPr>
        <w:t xml:space="preserve">оглашением б/н от 27.12.2017года «О передаче Контрольно-счетному органу  </w:t>
      </w:r>
      <w:r>
        <w:rPr>
          <w:rFonts w:cs="Times New Roman" w:ascii="Times New Roman" w:hAnsi="Times New Roman"/>
          <w:color w:val="052635"/>
          <w:sz w:val="26"/>
          <w:szCs w:val="26"/>
          <w:highlight w:val="white"/>
        </w:rPr>
        <w:t>Кондопожского муниципального района</w:t>
      </w:r>
      <w:r>
        <w:rPr>
          <w:rFonts w:cs="Times New Roman" w:ascii="Times New Roman" w:hAnsi="Times New Roman"/>
          <w:color w:val="052635"/>
          <w:sz w:val="26"/>
          <w:szCs w:val="26"/>
        </w:rPr>
        <w:t xml:space="preserve"> полномочий контрольно-счетного органа Кончезерского сельского поселения по осуществлению внешнего муниципального финансового контроля»,</w:t>
      </w:r>
      <w:r>
        <w:rPr>
          <w:rFonts w:cs="Times New Roman" w:ascii="Times New Roman" w:hAnsi="Times New Roman"/>
          <w:sz w:val="26"/>
          <w:szCs w:val="26"/>
        </w:rPr>
        <w:t xml:space="preserve"> пунктом 1.11. плана работы Контрольно-счетного органа </w:t>
      </w:r>
      <w:r>
        <w:rPr>
          <w:rFonts w:cs="Times New Roman" w:ascii="Times New Roman" w:hAnsi="Times New Roman"/>
          <w:sz w:val="26"/>
          <w:szCs w:val="26"/>
          <w:highlight w:val="white"/>
        </w:rPr>
        <w:t xml:space="preserve">Кондопожского муниципального района </w:t>
      </w:r>
      <w:r>
        <w:rPr>
          <w:rFonts w:cs="Times New Roman" w:ascii="Times New Roman" w:hAnsi="Times New Roman"/>
          <w:sz w:val="26"/>
          <w:szCs w:val="26"/>
        </w:rPr>
        <w:t xml:space="preserve">на 2018 год. </w:t>
      </w:r>
    </w:p>
    <w:p>
      <w:pPr>
        <w:pStyle w:val="Normal"/>
        <w:spacing w:lineRule="auto" w:line="276" w:before="0" w:after="0"/>
        <w:jc w:val="center"/>
        <w:rPr>
          <w:rFonts w:ascii="Times New Roman" w:hAnsi="Times New Roman"/>
          <w:b/>
          <w:b/>
          <w:bCs/>
          <w:sz w:val="26"/>
          <w:szCs w:val="26"/>
        </w:rPr>
      </w:pPr>
      <w:r>
        <w:rPr>
          <w:rFonts w:ascii="Times New Roman" w:hAnsi="Times New Roman"/>
          <w:b/>
          <w:bCs/>
          <w:sz w:val="26"/>
          <w:szCs w:val="26"/>
        </w:rPr>
      </w:r>
    </w:p>
    <w:p>
      <w:pPr>
        <w:pStyle w:val="Normal"/>
        <w:spacing w:lineRule="auto" w:line="276" w:before="0" w:after="0"/>
        <w:jc w:val="center"/>
        <w:rPr/>
      </w:pPr>
      <w:r>
        <w:rPr>
          <w:rFonts w:ascii="Times New Roman" w:hAnsi="Times New Roman"/>
          <w:b/>
          <w:bCs/>
          <w:sz w:val="26"/>
          <w:szCs w:val="26"/>
        </w:rPr>
        <w:t>1. Общие сведения</w:t>
      </w:r>
    </w:p>
    <w:p>
      <w:pPr>
        <w:pStyle w:val="Normal"/>
        <w:spacing w:lineRule="auto" w:line="276" w:before="0" w:after="0"/>
        <w:jc w:val="center"/>
        <w:rPr>
          <w:rFonts w:ascii="Times New Roman" w:hAnsi="Times New Roman"/>
          <w:b/>
          <w:b/>
          <w:bCs/>
          <w:sz w:val="26"/>
          <w:szCs w:val="26"/>
        </w:rPr>
      </w:pPr>
      <w:r>
        <w:rPr>
          <w:rFonts w:ascii="Times New Roman" w:hAnsi="Times New Roman"/>
          <w:b/>
          <w:bCs/>
          <w:sz w:val="26"/>
          <w:szCs w:val="26"/>
        </w:rPr>
      </w:r>
    </w:p>
    <w:p>
      <w:pPr>
        <w:pStyle w:val="Normal"/>
        <w:spacing w:lineRule="auto" w:line="276" w:before="0" w:after="0"/>
        <w:ind w:firstLine="709"/>
        <w:jc w:val="both"/>
        <w:rPr/>
      </w:pPr>
      <w:r>
        <w:rPr>
          <w:rFonts w:cs="Times New Roman" w:ascii="Times New Roman" w:hAnsi="Times New Roman"/>
          <w:sz w:val="26"/>
          <w:szCs w:val="26"/>
        </w:rPr>
        <w:t xml:space="preserve">При проведении анализа поступления и фактического расходования бюджетных средств Кончезерского сельского поселения использовались  данные отчета об исполнении бюджета Кончезерского сельского поселения 1 квартал 2018 года, за 1 квартал 2017 года; </w:t>
      </w:r>
      <w:r>
        <w:rPr>
          <w:rFonts w:cs="Times New Roman" w:ascii="Times New Roman" w:hAnsi="Times New Roman"/>
          <w:sz w:val="26"/>
          <w:szCs w:val="26"/>
          <w:lang w:eastAsia="ru-RU"/>
        </w:rPr>
        <w:t xml:space="preserve">информация Управления Федерального казначейства по Республике Карелия, полученная в рамках Соглашения «Об информационном взаимодействии между Управлением Федерального казначейства по Республике Карелия и Контрольно-счетным органом </w:t>
      </w:r>
      <w:r>
        <w:rPr>
          <w:rFonts w:cs="Times New Roman" w:ascii="Times New Roman" w:hAnsi="Times New Roman"/>
          <w:sz w:val="26"/>
          <w:szCs w:val="26"/>
          <w:highlight w:val="white"/>
          <w:lang w:eastAsia="ru-RU"/>
        </w:rPr>
        <w:t xml:space="preserve">Кондопожского муниципального района </w:t>
      </w:r>
      <w:r>
        <w:rPr>
          <w:rFonts w:cs="Times New Roman" w:ascii="Times New Roman" w:hAnsi="Times New Roman"/>
          <w:sz w:val="26"/>
          <w:szCs w:val="26"/>
          <w:lang w:eastAsia="ru-RU"/>
        </w:rPr>
        <w:t>от 29.03.2018 года; документы, размещенные в источниках официального опубликования</w:t>
      </w:r>
      <w:r>
        <w:rPr>
          <w:rFonts w:cs="Times New Roman" w:ascii="Times New Roman" w:hAnsi="Times New Roman"/>
          <w:sz w:val="26"/>
          <w:szCs w:val="26"/>
        </w:rPr>
        <w:t>.</w:t>
      </w:r>
    </w:p>
    <w:p>
      <w:pPr>
        <w:pStyle w:val="Normal"/>
        <w:spacing w:lineRule="auto" w:line="276" w:before="0" w:after="0"/>
        <w:ind w:firstLine="540"/>
        <w:jc w:val="both"/>
        <w:rPr>
          <w:sz w:val="26"/>
          <w:szCs w:val="26"/>
        </w:rPr>
      </w:pPr>
      <w:r>
        <w:rPr>
          <w:rFonts w:cs="Times New Roman" w:ascii="Times New Roman" w:hAnsi="Times New Roman"/>
          <w:sz w:val="26"/>
          <w:szCs w:val="26"/>
        </w:rPr>
        <w:t xml:space="preserve">В соответствии со статьей 264.2. Бюджетного Кодекса Российской Федерации (далее – Бюджетный кодекс РФ) отчет об исполнении местного бюджета за 1 квартал, полугодие и 9 месяцев 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 </w:t>
      </w:r>
    </w:p>
    <w:p>
      <w:pPr>
        <w:pStyle w:val="Normal"/>
        <w:spacing w:lineRule="auto" w:line="276" w:before="0" w:after="0"/>
        <w:ind w:firstLine="709"/>
        <w:jc w:val="both"/>
        <w:rPr/>
      </w:pPr>
      <w:r>
        <w:rPr>
          <w:rFonts w:cs="Times New Roman" w:ascii="Times New Roman" w:hAnsi="Times New Roman"/>
          <w:sz w:val="26"/>
          <w:szCs w:val="26"/>
        </w:rPr>
        <w:t xml:space="preserve">Отчет об исполнении бюджета Кончезерского сельского поселения за 1 квартал 2018 года утвержден Постановлением Администрации Кончезерского сельского поселения от 14.06.2018 № 28-П (далее – отчет за 1 квартал 2018 года) и представлен в Контрольно-счетный орган </w:t>
      </w:r>
      <w:r>
        <w:rPr>
          <w:rFonts w:cs="Times New Roman" w:ascii="Times New Roman" w:hAnsi="Times New Roman"/>
          <w:sz w:val="26"/>
          <w:szCs w:val="26"/>
          <w:highlight w:val="white"/>
        </w:rPr>
        <w:t>Кондопожского муниципального района</w:t>
      </w:r>
      <w:r>
        <w:rPr>
          <w:rFonts w:cs="Times New Roman" w:ascii="Times New Roman" w:hAnsi="Times New Roman"/>
          <w:sz w:val="26"/>
          <w:szCs w:val="26"/>
        </w:rPr>
        <w:t xml:space="preserve"> 20.06.2018 года.</w:t>
      </w:r>
    </w:p>
    <w:p>
      <w:pPr>
        <w:pStyle w:val="ConsPlusNormal"/>
        <w:spacing w:lineRule="auto" w:line="276"/>
        <w:ind w:firstLine="709"/>
        <w:jc w:val="both"/>
        <w:rPr/>
      </w:pPr>
      <w:r>
        <w:rPr>
          <w:rFonts w:cs="Times New Roman" w:ascii="Times New Roman" w:hAnsi="Times New Roman"/>
          <w:sz w:val="26"/>
          <w:szCs w:val="26"/>
          <w:highlight w:val="white"/>
        </w:rPr>
        <w:t xml:space="preserve">Статьей 36 Бюджетного кодекса РФ установлено обязательное опубликование в средствах массовой информации утвержденных бюджетов и отчетов об их исполнении. </w:t>
      </w:r>
    </w:p>
    <w:p>
      <w:pPr>
        <w:pStyle w:val="Normal"/>
        <w:bidi w:val="0"/>
        <w:spacing w:lineRule="auto" w:line="276" w:before="0" w:after="0"/>
        <w:ind w:firstLine="708"/>
        <w:jc w:val="both"/>
        <w:rPr/>
      </w:pPr>
      <w:r>
        <w:rPr>
          <w:rFonts w:cs="Times New Roman" w:ascii="Times New Roman" w:hAnsi="Times New Roman"/>
          <w:sz w:val="26"/>
          <w:szCs w:val="26"/>
          <w:highlight w:val="white"/>
        </w:rPr>
        <w:t>Согласно п. 8 ст. 40 Устава Кончезерского сельского поселения, и</w:t>
      </w:r>
      <w:r>
        <w:rPr>
          <w:rFonts w:cs="Times New Roman" w:ascii="Times New Roman" w:hAnsi="Times New Roman"/>
          <w:sz w:val="26"/>
          <w:szCs w:val="28"/>
          <w:highlight w:val="white"/>
        </w:rPr>
        <w:t xml:space="preserve">сточником официального опубликования муниципальных правовых актов является периодическое печатное издание, определяемое Советом </w:t>
      </w:r>
      <w:r>
        <w:rPr>
          <w:rFonts w:cs="Times New Roman" w:ascii="Times New Roman" w:hAnsi="Times New Roman"/>
          <w:sz w:val="26"/>
          <w:szCs w:val="26"/>
          <w:highlight w:val="white"/>
        </w:rPr>
        <w:t>Кончезерского сельского поселения</w:t>
      </w:r>
      <w:r>
        <w:rPr>
          <w:rFonts w:cs="Times New Roman" w:ascii="Times New Roman" w:hAnsi="Times New Roman"/>
          <w:sz w:val="26"/>
          <w:szCs w:val="28"/>
          <w:highlight w:val="white"/>
        </w:rPr>
        <w:t>.</w:t>
      </w:r>
      <w:r>
        <w:rPr>
          <w:rFonts w:cs="Times New Roman" w:ascii="Times New Roman" w:hAnsi="Times New Roman"/>
          <w:sz w:val="26"/>
          <w:szCs w:val="26"/>
          <w:highlight w:val="white"/>
        </w:rPr>
        <w:t xml:space="preserve"> С</w:t>
      </w:r>
      <w:r>
        <w:rPr>
          <w:rFonts w:cs="Times New Roman" w:ascii="Times New Roman" w:hAnsi="Times New Roman"/>
          <w:sz w:val="26"/>
          <w:szCs w:val="26"/>
          <w:highlight w:val="white"/>
          <w:lang w:eastAsia="ru-RU"/>
        </w:rPr>
        <w:t>рок официального опубликования ежеквартальных сведений о ходе исполнения бюджета Кончезерского сельского поселения не установлен</w:t>
      </w:r>
      <w:r>
        <w:rPr>
          <w:rFonts w:cs="Times New Roman" w:ascii="Times New Roman" w:hAnsi="Times New Roman"/>
          <w:sz w:val="26"/>
          <w:szCs w:val="26"/>
          <w:lang w:eastAsia="ru-RU"/>
        </w:rPr>
        <w:t xml:space="preserve">. </w:t>
      </w:r>
    </w:p>
    <w:p>
      <w:pPr>
        <w:pStyle w:val="Normal"/>
        <w:bidi w:val="0"/>
        <w:spacing w:lineRule="auto" w:line="276" w:before="0" w:after="0"/>
        <w:ind w:firstLine="708"/>
        <w:jc w:val="both"/>
        <w:rPr/>
      </w:pPr>
      <w:r>
        <w:rPr>
          <w:rFonts w:cs="Times New Roman" w:ascii="Times New Roman" w:hAnsi="Times New Roman"/>
          <w:sz w:val="26"/>
          <w:szCs w:val="26"/>
          <w:lang w:eastAsia="ru-RU"/>
        </w:rPr>
        <w:t xml:space="preserve">Решением Совета  Кончезерского сельского поселения от 31.03.2009 года 28 сессии 1 созыва учрежден официальный информационный бюллетень </w:t>
      </w:r>
      <w:bookmarkStart w:id="1" w:name="__DdeLink__716_703368539"/>
      <w:r>
        <w:rPr>
          <w:rFonts w:cs="Times New Roman" w:ascii="Times New Roman" w:hAnsi="Times New Roman"/>
          <w:sz w:val="26"/>
          <w:szCs w:val="26"/>
          <w:lang w:eastAsia="ru-RU"/>
        </w:rPr>
        <w:t>«Вестник Кончезерского сельского поселения»</w:t>
      </w:r>
      <w:bookmarkEnd w:id="1"/>
      <w:r>
        <w:rPr>
          <w:rFonts w:cs="Times New Roman" w:ascii="Times New Roman" w:hAnsi="Times New Roman"/>
          <w:sz w:val="26"/>
          <w:szCs w:val="26"/>
          <w:lang w:eastAsia="ru-RU"/>
        </w:rPr>
        <w:t xml:space="preserve">, утверждено «Положение о средстве массовой информации органов местного самоуправления Кончезерского сельского поселения», </w:t>
      </w:r>
      <w:r>
        <w:rPr>
          <w:rFonts w:cs="Times New Roman" w:ascii="Times New Roman" w:hAnsi="Times New Roman"/>
          <w:sz w:val="26"/>
          <w:szCs w:val="26"/>
          <w:lang w:val="ru-RU" w:eastAsia="ru-RU"/>
        </w:rPr>
        <w:t>в п.1.7. которого указано, что обязательному опубликованию в бюллетене подлежат официальные сообщения, обязательное опубликование которых предусмотрено, федеральными законами, законами Республики Карелия, Уставом Кончезерского сельского поселения.</w:t>
      </w:r>
    </w:p>
    <w:p>
      <w:pPr>
        <w:pStyle w:val="Normal"/>
        <w:bidi w:val="0"/>
        <w:spacing w:lineRule="auto" w:line="276" w:before="0" w:after="0"/>
        <w:ind w:firstLine="708"/>
        <w:jc w:val="both"/>
        <w:rPr/>
      </w:pPr>
      <w:r>
        <w:rPr>
          <w:rFonts w:cs="Times New Roman" w:ascii="Times New Roman" w:hAnsi="Times New Roman"/>
          <w:sz w:val="26"/>
          <w:szCs w:val="26"/>
          <w:lang w:eastAsia="ru-RU"/>
        </w:rPr>
        <w:t>На момент проведения данного экспертно-аналитического мероприятия отчет за 1 квартал 2018 года опубликован в «Вестнике Кончезерского сельского поселения» от 22 июня 2018 года № 17</w:t>
      </w:r>
    </w:p>
    <w:p>
      <w:pPr>
        <w:pStyle w:val="Normal"/>
        <w:widowControl/>
        <w:bidi w:val="0"/>
        <w:spacing w:lineRule="auto" w:line="276" w:before="0" w:after="0"/>
        <w:ind w:left="0" w:right="0" w:hanging="0"/>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widowControl/>
        <w:bidi w:val="0"/>
        <w:spacing w:lineRule="auto" w:line="276" w:before="0" w:after="0"/>
        <w:ind w:left="0" w:right="0" w:hanging="0"/>
        <w:jc w:val="center"/>
        <w:rPr/>
      </w:pPr>
      <w:r>
        <w:rPr>
          <w:rFonts w:cs="Times New Roman" w:ascii="Times New Roman" w:hAnsi="Times New Roman"/>
          <w:b/>
          <w:bCs/>
          <w:sz w:val="26"/>
          <w:szCs w:val="26"/>
        </w:rPr>
        <w:t>2. Анализ исполнения бюджета</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0" w:after="0"/>
        <w:ind w:firstLine="709"/>
        <w:jc w:val="both"/>
        <w:rPr/>
      </w:pPr>
      <w:r>
        <w:rPr>
          <w:rFonts w:cs="Times New Roman" w:ascii="Times New Roman" w:hAnsi="Times New Roman"/>
          <w:sz w:val="26"/>
          <w:szCs w:val="26"/>
        </w:rPr>
        <w:t xml:space="preserve">При проведении анализа исполнения бюджета установлено следующее: </w:t>
      </w:r>
    </w:p>
    <w:p>
      <w:pPr>
        <w:pStyle w:val="NoSpacing"/>
        <w:spacing w:lineRule="auto" w:line="276"/>
        <w:ind w:firstLine="709"/>
        <w:jc w:val="both"/>
        <w:rPr/>
      </w:pPr>
      <w:r>
        <w:rPr>
          <w:rFonts w:cs="Times New Roman" w:ascii="Times New Roman" w:hAnsi="Times New Roman"/>
          <w:sz w:val="26"/>
          <w:szCs w:val="26"/>
        </w:rPr>
        <w:t xml:space="preserve">Бюджет </w:t>
      </w:r>
      <w:r>
        <w:rPr>
          <w:rFonts w:cs="Times New Roman" w:ascii="Times New Roman" w:hAnsi="Times New Roman"/>
          <w:sz w:val="26"/>
          <w:szCs w:val="26"/>
          <w:highlight w:val="white"/>
          <w:lang w:eastAsia="ru-RU"/>
        </w:rPr>
        <w:t>Кончезерского сельского</w:t>
      </w:r>
      <w:r>
        <w:rPr>
          <w:rFonts w:cs="Times New Roman" w:ascii="Times New Roman" w:hAnsi="Times New Roman"/>
          <w:sz w:val="26"/>
          <w:szCs w:val="26"/>
        </w:rPr>
        <w:t xml:space="preserve"> поселения утвержден Решением Совета </w:t>
      </w:r>
      <w:r>
        <w:rPr>
          <w:rFonts w:cs="Times New Roman" w:ascii="Times New Roman" w:hAnsi="Times New Roman"/>
          <w:sz w:val="26"/>
          <w:szCs w:val="26"/>
          <w:highlight w:val="white"/>
          <w:lang w:eastAsia="ru-RU"/>
        </w:rPr>
        <w:t>Кончезерского сельского</w:t>
      </w:r>
      <w:r>
        <w:rPr>
          <w:rFonts w:cs="Times New Roman" w:ascii="Times New Roman" w:hAnsi="Times New Roman"/>
          <w:sz w:val="26"/>
          <w:szCs w:val="26"/>
        </w:rPr>
        <w:t xml:space="preserve"> поселения от 18.12.2017 года № 89 «</w:t>
      </w:r>
      <w:r>
        <w:rPr>
          <w:rFonts w:cs="Times New Roman" w:ascii="Times New Roman" w:hAnsi="Times New Roman"/>
          <w:b w:val="false"/>
          <w:bCs w:val="false"/>
          <w:sz w:val="26"/>
          <w:szCs w:val="26"/>
        </w:rPr>
        <w:t>О бюджете Кончезерского сельского поселения на 2018 год и на плановый период 2019 и 2020 годов</w:t>
      </w:r>
      <w:r>
        <w:rPr>
          <w:rFonts w:cs="Times New Roman" w:ascii="Times New Roman" w:hAnsi="Times New Roman"/>
          <w:sz w:val="26"/>
          <w:szCs w:val="26"/>
        </w:rPr>
        <w:t xml:space="preserve">» (далее - Решение о бюджете). </w:t>
      </w:r>
    </w:p>
    <w:p>
      <w:pPr>
        <w:pStyle w:val="Normal"/>
        <w:spacing w:lineRule="auto" w:line="276" w:before="0" w:after="0"/>
        <w:ind w:firstLine="709"/>
        <w:jc w:val="both"/>
        <w:rPr/>
      </w:pPr>
      <w:r>
        <w:rPr>
          <w:rFonts w:cs="Times New Roman" w:ascii="Times New Roman" w:hAnsi="Times New Roman"/>
          <w:sz w:val="26"/>
          <w:szCs w:val="26"/>
        </w:rPr>
        <w:t xml:space="preserve">В соответствии с Решением о бюджете, бюджет </w:t>
      </w:r>
      <w:r>
        <w:rPr>
          <w:rFonts w:cs="Times New Roman" w:ascii="Times New Roman" w:hAnsi="Times New Roman"/>
          <w:sz w:val="26"/>
          <w:szCs w:val="26"/>
          <w:highlight w:val="white"/>
          <w:lang w:eastAsia="ru-RU"/>
        </w:rPr>
        <w:t>Кончезерского сельского</w:t>
      </w:r>
      <w:r>
        <w:rPr>
          <w:rFonts w:cs="Times New Roman" w:ascii="Times New Roman" w:hAnsi="Times New Roman"/>
          <w:sz w:val="26"/>
          <w:szCs w:val="26"/>
        </w:rPr>
        <w:t xml:space="preserve"> поселения на 2018 год утвержден по доходам в сумме 7 737,50 тыс.</w:t>
      </w:r>
      <w:r>
        <w:rPr>
          <w:rFonts w:cs="Times New Roman" w:ascii="Times New Roman" w:hAnsi="Times New Roman"/>
          <w:b w:val="false"/>
          <w:bCs w:val="false"/>
          <w:sz w:val="26"/>
          <w:szCs w:val="26"/>
        </w:rPr>
        <w:t xml:space="preserve"> рублей,</w:t>
      </w:r>
      <w:r>
        <w:rPr>
          <w:rFonts w:cs="Times New Roman" w:ascii="Times New Roman" w:hAnsi="Times New Roman"/>
          <w:sz w:val="26"/>
          <w:szCs w:val="26"/>
        </w:rPr>
        <w:t xml:space="preserve"> по расходам в сумме  7 636,76 тыс. </w:t>
      </w:r>
      <w:r>
        <w:rPr>
          <w:rFonts w:cs="Times New Roman" w:ascii="Times New Roman" w:hAnsi="Times New Roman"/>
          <w:b w:val="false"/>
          <w:bCs w:val="false"/>
          <w:sz w:val="26"/>
          <w:szCs w:val="26"/>
        </w:rPr>
        <w:t>рублей</w:t>
      </w:r>
      <w:r>
        <w:rPr>
          <w:rFonts w:cs="Times New Roman" w:ascii="Times New Roman" w:hAnsi="Times New Roman"/>
          <w:sz w:val="26"/>
          <w:szCs w:val="26"/>
        </w:rPr>
        <w:t>.   Профицит бюджета утвержден в сумме 100,74 тыс. рублей. На основании Распоряжения Финансового управления Администрации Кондопожского муниципального района</w:t>
      </w:r>
      <w:r>
        <w:rPr>
          <w:rFonts w:cs="Times New Roman" w:ascii="Times New Roman" w:hAnsi="Times New Roman"/>
          <w:sz w:val="26"/>
          <w:szCs w:val="26"/>
          <w:lang w:eastAsia="ru-RU"/>
        </w:rPr>
        <w:t xml:space="preserve"> «О внесении изменений в сводную бюджетную роспись расходов бюджета </w:t>
      </w:r>
      <w:r>
        <w:rPr>
          <w:rFonts w:cs="Times New Roman" w:ascii="Times New Roman" w:hAnsi="Times New Roman"/>
          <w:sz w:val="26"/>
          <w:szCs w:val="26"/>
          <w:highlight w:val="white"/>
          <w:lang w:eastAsia="ru-RU"/>
        </w:rPr>
        <w:t>Кончезерского сельского</w:t>
      </w:r>
      <w:r>
        <w:rPr>
          <w:rFonts w:cs="Times New Roman" w:ascii="Times New Roman" w:hAnsi="Times New Roman"/>
          <w:sz w:val="26"/>
          <w:szCs w:val="26"/>
          <w:lang w:eastAsia="ru-RU"/>
        </w:rPr>
        <w:t xml:space="preserve"> поселения на 2018 год» от 28.02.2018 года № 79-р</w:t>
      </w:r>
      <w:r>
        <w:rPr>
          <w:rFonts w:cs="Times New Roman" w:ascii="Times New Roman" w:hAnsi="Times New Roman"/>
          <w:sz w:val="26"/>
          <w:szCs w:val="26"/>
        </w:rPr>
        <w:t xml:space="preserve">  утвержденные бюджетные назначения увеличились, и составили по доходам 9 090,97 тыс. рублей,  по расходам 8 990,24 тыс. рублей. Профицит бюджета  не изменился.</w:t>
      </w:r>
    </w:p>
    <w:p>
      <w:pPr>
        <w:pStyle w:val="Normal"/>
        <w:spacing w:lineRule="auto" w:line="240" w:before="0" w:after="0"/>
        <w:ind w:firstLine="567"/>
        <w:jc w:val="both"/>
        <w:rPr/>
      </w:pPr>
      <w:r>
        <w:rPr>
          <w:rFonts w:cs="Times New Roman" w:ascii="Times New Roman" w:hAnsi="Times New Roman"/>
          <w:sz w:val="26"/>
          <w:szCs w:val="26"/>
          <w:lang w:eastAsia="ru-RU"/>
        </w:rPr>
        <w:t>Основные параметры исполнения бюджета Кончезерского сельского поселения за 1 квартал 2017 года в сравнении с аналогичным периодом 2017 года приведены в следующей таблице:</w:t>
      </w:r>
    </w:p>
    <w:p>
      <w:pPr>
        <w:pStyle w:val="Normal"/>
        <w:widowControl/>
        <w:bidi w:val="0"/>
        <w:spacing w:lineRule="auto" w:line="276" w:before="0" w:after="0"/>
        <w:ind w:left="0" w:right="0" w:hanging="0"/>
        <w:jc w:val="right"/>
        <w:rPr/>
      </w:pPr>
      <w:r>
        <w:rPr>
          <w:rFonts w:ascii="Times New Roman" w:hAnsi="Times New Roman"/>
        </w:rPr>
        <w:t>рублей</w:t>
      </w:r>
    </w:p>
    <w:tbl>
      <w:tblPr>
        <w:tblW w:w="9360" w:type="dxa"/>
        <w:jc w:val="left"/>
        <w:tblInd w:w="12"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28" w:type="dxa"/>
          <w:left w:w="-2" w:type="dxa"/>
          <w:bottom w:w="28" w:type="dxa"/>
          <w:right w:w="28" w:type="dxa"/>
        </w:tblCellMar>
      </w:tblPr>
      <w:tblGrid>
        <w:gridCol w:w="1695"/>
        <w:gridCol w:w="1365"/>
        <w:gridCol w:w="1185"/>
        <w:gridCol w:w="795"/>
        <w:gridCol w:w="1305"/>
        <w:gridCol w:w="1200"/>
        <w:gridCol w:w="794"/>
        <w:gridCol w:w="1020"/>
      </w:tblGrid>
      <w:tr>
        <w:trPr>
          <w:trHeight w:val="900" w:hRule="atLeast"/>
        </w:trPr>
        <w:tc>
          <w:tcPr>
            <w:tcW w:w="16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8"/>
              <w:spacing w:lineRule="auto" w:line="276" w:before="0" w:after="160"/>
              <w:jc w:val="center"/>
              <w:rPr/>
            </w:pPr>
            <w:r>
              <w:rPr>
                <w:rFonts w:ascii="Times New Roman" w:hAnsi="Times New Roman"/>
                <w:color w:val="00000A"/>
                <w:sz w:val="18"/>
                <w:szCs w:val="18"/>
              </w:rPr>
              <w:t>Наименование</w:t>
            </w:r>
          </w:p>
        </w:tc>
        <w:tc>
          <w:tcPr>
            <w:tcW w:w="136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8"/>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Утвержденные бюджетные назначения на 01.04.2017</w:t>
            </w:r>
          </w:p>
        </w:tc>
        <w:tc>
          <w:tcPr>
            <w:tcW w:w="11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8"/>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Исполнено на 01.04.2017</w:t>
            </w:r>
          </w:p>
        </w:tc>
        <w:tc>
          <w:tcPr>
            <w:tcW w:w="7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8"/>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 исполнения</w:t>
            </w:r>
          </w:p>
        </w:tc>
        <w:tc>
          <w:tcPr>
            <w:tcW w:w="130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8"/>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Утвержденные бюджетные назначения на 01.04.2018</w:t>
            </w:r>
          </w:p>
        </w:tc>
        <w:tc>
          <w:tcPr>
            <w:tcW w:w="12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8"/>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Исполнено на 01.04.2018</w:t>
            </w:r>
          </w:p>
        </w:tc>
        <w:tc>
          <w:tcPr>
            <w:tcW w:w="7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8"/>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 xml:space="preserve">% исполнения </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8"/>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отклонение (гр.6 - гр.3)</w:t>
            </w:r>
          </w:p>
        </w:tc>
      </w:tr>
      <w:tr>
        <w:trPr>
          <w:trHeight w:val="57" w:hRule="atLeast"/>
        </w:trPr>
        <w:tc>
          <w:tcPr>
            <w:tcW w:w="16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1</w:t>
            </w:r>
          </w:p>
        </w:tc>
        <w:tc>
          <w:tcPr>
            <w:tcW w:w="136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2</w:t>
            </w:r>
          </w:p>
        </w:tc>
        <w:tc>
          <w:tcPr>
            <w:tcW w:w="11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3</w:t>
            </w:r>
          </w:p>
        </w:tc>
        <w:tc>
          <w:tcPr>
            <w:tcW w:w="7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4</w:t>
            </w:r>
          </w:p>
        </w:tc>
        <w:tc>
          <w:tcPr>
            <w:tcW w:w="130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5</w:t>
            </w:r>
          </w:p>
        </w:tc>
        <w:tc>
          <w:tcPr>
            <w:tcW w:w="12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6</w:t>
            </w:r>
          </w:p>
        </w:tc>
        <w:tc>
          <w:tcPr>
            <w:tcW w:w="7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7</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8</w:t>
            </w:r>
          </w:p>
        </w:tc>
      </w:tr>
      <w:tr>
        <w:trPr>
          <w:trHeight w:val="356" w:hRule="atLeast"/>
        </w:trPr>
        <w:tc>
          <w:tcPr>
            <w:tcW w:w="16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left"/>
              <w:rPr>
                <w:rFonts w:ascii="Times New Roman" w:hAnsi="Times New Roman"/>
                <w:b/>
                <w:b/>
                <w:color w:val="00000A"/>
                <w:sz w:val="18"/>
                <w:szCs w:val="18"/>
              </w:rPr>
            </w:pPr>
            <w:r>
              <w:rPr>
                <w:rFonts w:ascii="Times New Roman" w:hAnsi="Times New Roman"/>
                <w:b/>
                <w:color w:val="00000A"/>
                <w:sz w:val="18"/>
                <w:szCs w:val="18"/>
              </w:rPr>
              <w:t>1. Доходы</w:t>
            </w:r>
          </w:p>
        </w:tc>
        <w:tc>
          <w:tcPr>
            <w:tcW w:w="136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b/>
                <w:color w:val="00000A"/>
                <w:sz w:val="18"/>
                <w:szCs w:val="18"/>
              </w:rPr>
              <w:t>9 346,69</w:t>
            </w:r>
          </w:p>
        </w:tc>
        <w:tc>
          <w:tcPr>
            <w:tcW w:w="11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b/>
                <w:color w:val="00000A"/>
                <w:sz w:val="18"/>
                <w:szCs w:val="18"/>
              </w:rPr>
              <w:t>1 114,18</w:t>
            </w:r>
          </w:p>
        </w:tc>
        <w:tc>
          <w:tcPr>
            <w:tcW w:w="7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color w:val="00000A"/>
                <w:sz w:val="18"/>
                <w:szCs w:val="18"/>
              </w:rPr>
              <w:t>11,9</w:t>
            </w:r>
          </w:p>
        </w:tc>
        <w:tc>
          <w:tcPr>
            <w:tcW w:w="130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b/>
                <w:color w:val="00000A"/>
                <w:sz w:val="18"/>
                <w:szCs w:val="18"/>
              </w:rPr>
              <w:t>9 090,97</w:t>
            </w:r>
          </w:p>
        </w:tc>
        <w:tc>
          <w:tcPr>
            <w:tcW w:w="12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b/>
                <w:color w:val="00000A"/>
                <w:sz w:val="18"/>
                <w:szCs w:val="18"/>
              </w:rPr>
              <w:t>1 609,92</w:t>
            </w:r>
          </w:p>
        </w:tc>
        <w:tc>
          <w:tcPr>
            <w:tcW w:w="7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color w:val="00000A"/>
                <w:sz w:val="18"/>
                <w:szCs w:val="18"/>
              </w:rPr>
              <w:t>17,7</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right"/>
              <w:rPr/>
            </w:pPr>
            <w:r>
              <w:rPr>
                <w:rFonts w:ascii="Times New Roman" w:hAnsi="Times New Roman"/>
                <w:b/>
                <w:color w:val="00000A"/>
                <w:sz w:val="18"/>
                <w:szCs w:val="18"/>
              </w:rPr>
              <w:t xml:space="preserve">495,74 </w:t>
            </w:r>
          </w:p>
        </w:tc>
      </w:tr>
      <w:tr>
        <w:trPr>
          <w:trHeight w:val="701" w:hRule="atLeast"/>
        </w:trPr>
        <w:tc>
          <w:tcPr>
            <w:tcW w:w="16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left"/>
              <w:rPr>
                <w:rFonts w:ascii="Times New Roman" w:hAnsi="Times New Roman"/>
                <w:color w:val="00000A"/>
                <w:sz w:val="18"/>
                <w:szCs w:val="18"/>
              </w:rPr>
            </w:pPr>
            <w:r>
              <w:rPr>
                <w:rFonts w:ascii="Times New Roman" w:hAnsi="Times New Roman"/>
                <w:color w:val="00000A"/>
                <w:sz w:val="18"/>
                <w:szCs w:val="18"/>
              </w:rPr>
              <w:t>налоговые и неналоговые доходы</w:t>
            </w:r>
          </w:p>
        </w:tc>
        <w:tc>
          <w:tcPr>
            <w:tcW w:w="136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color w:val="00000A"/>
                <w:sz w:val="18"/>
                <w:szCs w:val="18"/>
              </w:rPr>
              <w:t>7 132,69</w:t>
            </w:r>
          </w:p>
        </w:tc>
        <w:tc>
          <w:tcPr>
            <w:tcW w:w="11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color w:val="00000A"/>
                <w:sz w:val="18"/>
                <w:szCs w:val="18"/>
              </w:rPr>
              <w:t>1 062,48</w:t>
            </w:r>
          </w:p>
        </w:tc>
        <w:tc>
          <w:tcPr>
            <w:tcW w:w="7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color w:val="00000A"/>
                <w:sz w:val="18"/>
                <w:szCs w:val="18"/>
              </w:rPr>
              <w:t>14,9</w:t>
            </w:r>
          </w:p>
        </w:tc>
        <w:tc>
          <w:tcPr>
            <w:tcW w:w="130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color w:val="00000A"/>
                <w:sz w:val="18"/>
                <w:szCs w:val="18"/>
              </w:rPr>
              <w:t>7 653,50</w:t>
            </w:r>
          </w:p>
        </w:tc>
        <w:tc>
          <w:tcPr>
            <w:tcW w:w="12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color w:val="00000A"/>
                <w:sz w:val="18"/>
                <w:szCs w:val="18"/>
              </w:rPr>
              <w:t>1 477,07</w:t>
            </w:r>
          </w:p>
        </w:tc>
        <w:tc>
          <w:tcPr>
            <w:tcW w:w="7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color w:val="00000A"/>
                <w:sz w:val="18"/>
                <w:szCs w:val="18"/>
              </w:rPr>
              <w:t>19,3</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right"/>
              <w:rPr/>
            </w:pPr>
            <w:r>
              <w:rPr>
                <w:rFonts w:ascii="Times New Roman" w:hAnsi="Times New Roman"/>
                <w:color w:val="00000A"/>
                <w:sz w:val="18"/>
                <w:szCs w:val="18"/>
              </w:rPr>
              <w:t>414,59</w:t>
            </w:r>
          </w:p>
        </w:tc>
      </w:tr>
      <w:tr>
        <w:trPr>
          <w:trHeight w:val="551" w:hRule="atLeast"/>
        </w:trPr>
        <w:tc>
          <w:tcPr>
            <w:tcW w:w="16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left"/>
              <w:rPr>
                <w:rFonts w:ascii="Times New Roman" w:hAnsi="Times New Roman"/>
                <w:color w:val="00000A"/>
                <w:sz w:val="18"/>
                <w:szCs w:val="18"/>
              </w:rPr>
            </w:pPr>
            <w:r>
              <w:rPr>
                <w:rFonts w:ascii="Times New Roman" w:hAnsi="Times New Roman"/>
                <w:color w:val="00000A"/>
                <w:sz w:val="18"/>
                <w:szCs w:val="18"/>
              </w:rPr>
              <w:t>безвозмездные поступления</w:t>
            </w:r>
          </w:p>
        </w:tc>
        <w:tc>
          <w:tcPr>
            <w:tcW w:w="136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color w:val="00000A"/>
                <w:sz w:val="18"/>
                <w:szCs w:val="18"/>
              </w:rPr>
              <w:t>2 214,00</w:t>
            </w:r>
          </w:p>
        </w:tc>
        <w:tc>
          <w:tcPr>
            <w:tcW w:w="11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color w:val="00000A"/>
                <w:sz w:val="18"/>
                <w:szCs w:val="18"/>
              </w:rPr>
              <w:t>51,70</w:t>
            </w:r>
          </w:p>
        </w:tc>
        <w:tc>
          <w:tcPr>
            <w:tcW w:w="7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color w:val="00000A"/>
                <w:sz w:val="18"/>
                <w:szCs w:val="18"/>
              </w:rPr>
              <w:t>2,3</w:t>
            </w:r>
          </w:p>
        </w:tc>
        <w:tc>
          <w:tcPr>
            <w:tcW w:w="130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color w:val="00000A"/>
                <w:sz w:val="18"/>
                <w:szCs w:val="18"/>
              </w:rPr>
              <w:t>1 437,48</w:t>
            </w:r>
          </w:p>
        </w:tc>
        <w:tc>
          <w:tcPr>
            <w:tcW w:w="12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color w:val="00000A"/>
                <w:sz w:val="18"/>
                <w:szCs w:val="18"/>
              </w:rPr>
              <w:t>132,85</w:t>
            </w:r>
          </w:p>
        </w:tc>
        <w:tc>
          <w:tcPr>
            <w:tcW w:w="7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color w:val="00000A"/>
                <w:sz w:val="18"/>
                <w:szCs w:val="18"/>
              </w:rPr>
              <w:t>9,2</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right"/>
              <w:rPr/>
            </w:pPr>
            <w:r>
              <w:rPr>
                <w:rFonts w:ascii="Times New Roman" w:hAnsi="Times New Roman"/>
                <w:color w:val="00000A"/>
                <w:sz w:val="18"/>
                <w:szCs w:val="18"/>
              </w:rPr>
              <w:t>81,15</w:t>
            </w:r>
          </w:p>
        </w:tc>
      </w:tr>
      <w:tr>
        <w:trPr>
          <w:trHeight w:val="356" w:hRule="atLeast"/>
        </w:trPr>
        <w:tc>
          <w:tcPr>
            <w:tcW w:w="16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left"/>
              <w:rPr>
                <w:rFonts w:ascii="Times New Roman" w:hAnsi="Times New Roman"/>
                <w:b/>
                <w:b/>
                <w:color w:val="00000A"/>
                <w:sz w:val="18"/>
                <w:szCs w:val="18"/>
              </w:rPr>
            </w:pPr>
            <w:r>
              <w:rPr>
                <w:rFonts w:ascii="Times New Roman" w:hAnsi="Times New Roman"/>
                <w:b/>
                <w:color w:val="00000A"/>
                <w:sz w:val="18"/>
                <w:szCs w:val="18"/>
              </w:rPr>
              <w:t>2. Расходы</w:t>
            </w:r>
          </w:p>
        </w:tc>
        <w:tc>
          <w:tcPr>
            <w:tcW w:w="136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b/>
                <w:color w:val="00000A"/>
                <w:sz w:val="18"/>
                <w:szCs w:val="18"/>
              </w:rPr>
              <w:t>10 072, 83</w:t>
            </w:r>
          </w:p>
        </w:tc>
        <w:tc>
          <w:tcPr>
            <w:tcW w:w="11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b/>
                <w:color w:val="00000A"/>
                <w:sz w:val="18"/>
                <w:szCs w:val="18"/>
              </w:rPr>
              <w:t>1 643,23</w:t>
            </w:r>
          </w:p>
        </w:tc>
        <w:tc>
          <w:tcPr>
            <w:tcW w:w="7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color w:val="00000A"/>
                <w:sz w:val="18"/>
                <w:szCs w:val="18"/>
              </w:rPr>
              <w:t>16,3</w:t>
            </w:r>
          </w:p>
        </w:tc>
        <w:tc>
          <w:tcPr>
            <w:tcW w:w="130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b/>
                <w:color w:val="00000A"/>
                <w:sz w:val="18"/>
                <w:szCs w:val="18"/>
              </w:rPr>
              <w:t>8 990,24</w:t>
            </w:r>
          </w:p>
        </w:tc>
        <w:tc>
          <w:tcPr>
            <w:tcW w:w="12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b/>
                <w:color w:val="00000A"/>
                <w:sz w:val="18"/>
                <w:szCs w:val="18"/>
              </w:rPr>
              <w:t>2 024,28</w:t>
            </w:r>
          </w:p>
        </w:tc>
        <w:tc>
          <w:tcPr>
            <w:tcW w:w="7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color w:val="00000A"/>
                <w:sz w:val="18"/>
                <w:szCs w:val="18"/>
              </w:rPr>
              <w:t>22,5</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right"/>
              <w:rPr/>
            </w:pPr>
            <w:r>
              <w:rPr>
                <w:rFonts w:ascii="Times New Roman" w:hAnsi="Times New Roman"/>
                <w:b/>
                <w:color w:val="00000A"/>
                <w:sz w:val="18"/>
                <w:szCs w:val="18"/>
              </w:rPr>
              <w:t>381,05</w:t>
            </w:r>
          </w:p>
        </w:tc>
      </w:tr>
      <w:tr>
        <w:trPr>
          <w:trHeight w:val="926" w:hRule="atLeast"/>
        </w:trPr>
        <w:tc>
          <w:tcPr>
            <w:tcW w:w="16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left"/>
              <w:rPr>
                <w:rFonts w:ascii="Times New Roman" w:hAnsi="Times New Roman"/>
                <w:b/>
                <w:b/>
                <w:color w:val="00000A"/>
                <w:sz w:val="18"/>
                <w:szCs w:val="18"/>
              </w:rPr>
            </w:pPr>
            <w:r>
              <w:rPr>
                <w:rFonts w:ascii="Times New Roman" w:hAnsi="Times New Roman"/>
                <w:b/>
                <w:color w:val="00000A"/>
                <w:sz w:val="18"/>
                <w:szCs w:val="18"/>
              </w:rPr>
              <w:t>3. Источники финансирования дефицита бюджета</w:t>
            </w:r>
          </w:p>
        </w:tc>
        <w:tc>
          <w:tcPr>
            <w:tcW w:w="136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b/>
                <w:color w:val="00000A"/>
                <w:sz w:val="18"/>
                <w:szCs w:val="18"/>
              </w:rPr>
              <w:t>-726, 14</w:t>
            </w:r>
          </w:p>
        </w:tc>
        <w:tc>
          <w:tcPr>
            <w:tcW w:w="11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b/>
                <w:color w:val="00000A"/>
                <w:sz w:val="18"/>
                <w:szCs w:val="18"/>
              </w:rPr>
              <w:t>-529,05</w:t>
            </w:r>
          </w:p>
        </w:tc>
        <w:tc>
          <w:tcPr>
            <w:tcW w:w="79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х</w:t>
            </w:r>
          </w:p>
        </w:tc>
        <w:tc>
          <w:tcPr>
            <w:tcW w:w="130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b/>
                <w:color w:val="00000A"/>
                <w:sz w:val="18"/>
                <w:szCs w:val="18"/>
              </w:rPr>
              <w:t xml:space="preserve"> </w:t>
            </w:r>
            <w:r>
              <w:rPr>
                <w:rFonts w:ascii="Times New Roman" w:hAnsi="Times New Roman"/>
                <w:b/>
                <w:color w:val="00000A"/>
                <w:sz w:val="18"/>
                <w:szCs w:val="18"/>
              </w:rPr>
              <w:t>100,74</w:t>
            </w:r>
          </w:p>
        </w:tc>
        <w:tc>
          <w:tcPr>
            <w:tcW w:w="12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pPr>
            <w:r>
              <w:rPr>
                <w:rFonts w:ascii="Times New Roman" w:hAnsi="Times New Roman"/>
                <w:b/>
                <w:color w:val="00000A"/>
                <w:sz w:val="18"/>
                <w:szCs w:val="18"/>
              </w:rPr>
              <w:t>-414,36</w:t>
            </w:r>
          </w:p>
        </w:tc>
        <w:tc>
          <w:tcPr>
            <w:tcW w:w="7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center"/>
              <w:rPr>
                <w:rFonts w:ascii="Times New Roman" w:hAnsi="Times New Roman"/>
                <w:color w:val="00000A"/>
                <w:sz w:val="18"/>
                <w:szCs w:val="18"/>
              </w:rPr>
            </w:pPr>
            <w:r>
              <w:rPr>
                <w:rFonts w:ascii="Times New Roman" w:hAnsi="Times New Roman"/>
                <w:color w:val="00000A"/>
                <w:sz w:val="18"/>
                <w:szCs w:val="18"/>
              </w:rPr>
              <w:t>х</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lineRule="auto" w:line="276" w:before="0" w:after="160"/>
              <w:jc w:val="right"/>
              <w:rPr/>
            </w:pPr>
            <w:r>
              <w:rPr>
                <w:rFonts w:ascii="Times New Roman" w:hAnsi="Times New Roman"/>
                <w:b/>
                <w:color w:val="00000A"/>
                <w:sz w:val="18"/>
                <w:szCs w:val="18"/>
              </w:rPr>
              <w:t xml:space="preserve"> </w:t>
            </w:r>
            <w:r>
              <w:rPr>
                <w:rFonts w:ascii="Times New Roman" w:hAnsi="Times New Roman"/>
                <w:b/>
                <w:color w:val="00000A"/>
                <w:sz w:val="18"/>
                <w:szCs w:val="18"/>
              </w:rPr>
              <w:t>114,66</w:t>
            </w:r>
          </w:p>
        </w:tc>
      </w:tr>
    </w:tbl>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firstLine="709"/>
        <w:jc w:val="both"/>
        <w:rPr/>
      </w:pPr>
      <w:r>
        <w:rPr>
          <w:rFonts w:cs="Times New Roman" w:ascii="Times New Roman" w:hAnsi="Times New Roman"/>
          <w:sz w:val="26"/>
          <w:szCs w:val="26"/>
        </w:rPr>
        <w:t xml:space="preserve">По состоянию на 1 апреля 2018 года в бюджет </w:t>
      </w:r>
      <w:r>
        <w:rPr>
          <w:rFonts w:cs="Times New Roman" w:ascii="Times New Roman" w:hAnsi="Times New Roman"/>
          <w:sz w:val="26"/>
          <w:szCs w:val="26"/>
          <w:lang w:eastAsia="ru-RU"/>
        </w:rPr>
        <w:t xml:space="preserve">Кончезерского сельского поселения </w:t>
      </w:r>
      <w:r>
        <w:rPr>
          <w:rFonts w:cs="Times New Roman" w:ascii="Times New Roman" w:hAnsi="Times New Roman"/>
          <w:sz w:val="26"/>
          <w:szCs w:val="26"/>
          <w:highlight w:val="white"/>
        </w:rPr>
        <w:t xml:space="preserve">поступило всего доходов в сумме 1 609,92 тыс. </w:t>
      </w:r>
      <w:r>
        <w:rPr>
          <w:rFonts w:cs="Times New Roman" w:ascii="Times New Roman" w:hAnsi="Times New Roman"/>
          <w:sz w:val="26"/>
          <w:szCs w:val="26"/>
        </w:rPr>
        <w:t>рублей или 17,7 процентов от утвержденных годовых назначений (9 090,97 тыс. рублей), в том числе: налоговые и неналоговые доходы в сумме 1 477,07 тыс. рублей или 19,3 процента от плановых назначений; безвозмездные поступления составили 132,85 тыс. рублей или 9,2 процентов от плановых назначений.</w:t>
      </w:r>
    </w:p>
    <w:p>
      <w:pPr>
        <w:pStyle w:val="Normal"/>
        <w:spacing w:lineRule="auto" w:line="240" w:before="0" w:after="0"/>
        <w:ind w:firstLine="709"/>
        <w:jc w:val="both"/>
        <w:rPr/>
      </w:pPr>
      <w:r>
        <w:rPr>
          <w:rFonts w:cs="Times New Roman" w:ascii="Times New Roman" w:hAnsi="Times New Roman"/>
          <w:sz w:val="26"/>
          <w:szCs w:val="26"/>
        </w:rPr>
        <w:t>В целом доходов по сравнению с соответствующим периодом прошлого года получено больше н</w:t>
      </w:r>
      <w:r>
        <w:rPr>
          <w:rFonts w:cs="Times New Roman" w:ascii="Times New Roman" w:hAnsi="Times New Roman"/>
          <w:sz w:val="26"/>
          <w:szCs w:val="26"/>
          <w:highlight w:val="white"/>
        </w:rPr>
        <w:t>а 495,74 тыс.</w:t>
      </w:r>
      <w:r>
        <w:rPr>
          <w:rFonts w:cs="Times New Roman" w:ascii="Times New Roman" w:hAnsi="Times New Roman"/>
          <w:sz w:val="26"/>
          <w:szCs w:val="26"/>
        </w:rPr>
        <w:t xml:space="preserve"> рублей, в том числе за счет увеличения налоговых и   неналоговых   доходов   на  414,59 тыс. рублей безвозмездных  поступлений  на 81,15 тыс. рублей.</w:t>
      </w:r>
    </w:p>
    <w:p>
      <w:pPr>
        <w:pStyle w:val="Normal"/>
        <w:spacing w:lineRule="auto" w:line="240" w:before="0" w:after="0"/>
        <w:ind w:firstLine="709"/>
        <w:jc w:val="both"/>
        <w:rPr/>
      </w:pPr>
      <w:r>
        <w:rPr>
          <w:rFonts w:cs="Times New Roman" w:ascii="Times New Roman" w:hAnsi="Times New Roman"/>
          <w:sz w:val="26"/>
          <w:szCs w:val="26"/>
          <w:lang w:eastAsia="ru-RU"/>
        </w:rPr>
        <w:t>В общей сумме поступивших доходов по состоянию на 01.04.2018 года налоговые и неналоговые доходы составляют – 91,7 процентов, безвозмездные поступления – 8,3 процента.</w:t>
      </w:r>
    </w:p>
    <w:p>
      <w:pPr>
        <w:pStyle w:val="Normal"/>
        <w:spacing w:lineRule="auto" w:line="240" w:before="0" w:after="0"/>
        <w:ind w:firstLine="567"/>
        <w:jc w:val="both"/>
        <w:rPr/>
      </w:pPr>
      <w:r>
        <w:rPr>
          <w:rFonts w:cs="Times New Roman" w:ascii="Times New Roman" w:hAnsi="Times New Roman"/>
          <w:sz w:val="26"/>
          <w:szCs w:val="26"/>
          <w:lang w:eastAsia="ru-RU"/>
        </w:rPr>
        <w:t xml:space="preserve"> </w:t>
      </w:r>
      <w:r>
        <w:rPr>
          <w:rFonts w:cs="Times New Roman" w:ascii="Times New Roman" w:hAnsi="Times New Roman"/>
          <w:sz w:val="26"/>
          <w:szCs w:val="26"/>
          <w:lang w:eastAsia="ru-RU"/>
        </w:rPr>
        <w:t xml:space="preserve">Исполнение бюджета Кончезерского сельского поселения по доходам за 1 квартал 2018 года в сравнении с аналогичным периодом 2017 года приведено в Приложении № 1. </w:t>
      </w:r>
    </w:p>
    <w:p>
      <w:pPr>
        <w:pStyle w:val="Normal"/>
        <w:spacing w:lineRule="auto" w:line="240" w:before="0" w:after="0"/>
        <w:ind w:firstLine="709"/>
        <w:jc w:val="both"/>
        <w:rPr/>
      </w:pPr>
      <w:r>
        <w:rPr>
          <w:rFonts w:cs="Times New Roman" w:ascii="Times New Roman" w:hAnsi="Times New Roman"/>
          <w:sz w:val="26"/>
          <w:szCs w:val="26"/>
        </w:rPr>
        <w:t xml:space="preserve">Анализ структуры налоговых и неналоговых доходов бюджета Кончезерского сельского поселения </w:t>
      </w:r>
      <w:r>
        <w:rPr>
          <w:rFonts w:cs="Times New Roman" w:ascii="Times New Roman" w:hAnsi="Times New Roman"/>
          <w:sz w:val="26"/>
          <w:szCs w:val="26"/>
          <w:lang w:eastAsia="ru-RU"/>
        </w:rPr>
        <w:t xml:space="preserve">за 1 квартал 2018 года </w:t>
      </w:r>
      <w:r>
        <w:rPr>
          <w:rFonts w:cs="Times New Roman" w:ascii="Times New Roman" w:hAnsi="Times New Roman"/>
          <w:sz w:val="26"/>
          <w:szCs w:val="26"/>
        </w:rPr>
        <w:t xml:space="preserve">по основным видам и группам налогов показал, что наибольший удельный вес в общем объеме поступивших доходов бюджета </w:t>
      </w:r>
      <w:r>
        <w:rPr>
          <w:rFonts w:cs="Times New Roman" w:ascii="Times New Roman" w:hAnsi="Times New Roman"/>
          <w:sz w:val="26"/>
          <w:szCs w:val="26"/>
          <w:highlight w:val="white"/>
        </w:rPr>
        <w:t>приходится на налог на имущество — 35 процентов, или 38,1 процент в общем объеме налоговых и неналоговых доходов бюджета</w:t>
      </w:r>
      <w:r>
        <w:rPr>
          <w:rFonts w:cs="Times New Roman" w:ascii="Times New Roman" w:hAnsi="Times New Roman"/>
          <w:sz w:val="26"/>
          <w:szCs w:val="26"/>
        </w:rPr>
        <w:t xml:space="preserve">. </w:t>
      </w:r>
    </w:p>
    <w:p>
      <w:pPr>
        <w:pStyle w:val="Normal"/>
        <w:spacing w:lineRule="auto" w:line="276" w:before="0" w:after="0"/>
        <w:ind w:firstLine="709"/>
        <w:jc w:val="both"/>
        <w:rPr/>
      </w:pPr>
      <w:r>
        <w:rPr>
          <w:rFonts w:cs="Times New Roman" w:ascii="Times New Roman" w:hAnsi="Times New Roman"/>
          <w:sz w:val="26"/>
          <w:szCs w:val="26"/>
        </w:rPr>
        <w:t>В сравнении с аналогичным периодом прошлого года установлено значительное увеличение налоговых и неналоговых доходов по налогу на имущество за 1 квартал 2018 года поступило  563,41 тыс. рублей, или 13,3 процента от годовых плановых назначений, что на 374,27 тыс. рублей больше, чем за аналогичный период прошлого года.</w:t>
      </w:r>
    </w:p>
    <w:p>
      <w:pPr>
        <w:pStyle w:val="Normal"/>
        <w:spacing w:lineRule="auto" w:line="240" w:before="0" w:after="0"/>
        <w:ind w:firstLine="709"/>
        <w:jc w:val="both"/>
        <w:rPr/>
      </w:pPr>
      <w:r>
        <w:rPr>
          <w:rFonts w:cs="Times New Roman" w:ascii="Times New Roman" w:hAnsi="Times New Roman"/>
          <w:sz w:val="26"/>
          <w:szCs w:val="26"/>
        </w:rPr>
        <w:t xml:space="preserve">Поступления доходов от использования имущества, находящегося в государственной и муниципальной собственности за 1 квартал текущего года составили 27,83 тыс. рублей, что составляет 1,7 процента в общем объеме доходов бюджета или 82,5 процента от плановых назначений. Большой процент исполнения свидетельствует о некачественном планировании. По сравнению с 1 кварталом 2017 года поступления увеличились на 5,88 тыс. рублей. </w:t>
      </w:r>
    </w:p>
    <w:p>
      <w:pPr>
        <w:pStyle w:val="Normal"/>
        <w:spacing w:lineRule="auto" w:line="240" w:before="0" w:after="0"/>
        <w:ind w:firstLine="709"/>
        <w:jc w:val="both"/>
        <w:rPr/>
      </w:pPr>
      <w:r>
        <w:rPr>
          <w:rFonts w:cs="Times New Roman" w:ascii="Times New Roman" w:hAnsi="Times New Roman"/>
          <w:sz w:val="26"/>
          <w:szCs w:val="26"/>
        </w:rPr>
        <w:t xml:space="preserve">Налоги на доходы физических лиц </w:t>
      </w:r>
      <w:bookmarkStart w:id="2" w:name="__DdeLink__3118_805788400"/>
      <w:r>
        <w:rPr>
          <w:rFonts w:cs="Times New Roman" w:ascii="Times New Roman" w:hAnsi="Times New Roman"/>
          <w:sz w:val="26"/>
          <w:szCs w:val="26"/>
        </w:rPr>
        <w:t>составляют 20,2 процента от общей суммы доходов бюджета, по сравнению с аналогичным периодом прошлого года, поступления также увеличились на 11,21 тыс. рублей и составили 324,86 тыс. рублей (22,5 процентов</w:t>
      </w:r>
      <w:bookmarkEnd w:id="2"/>
      <w:r>
        <w:rPr>
          <w:rFonts w:cs="Times New Roman" w:ascii="Times New Roman" w:hAnsi="Times New Roman"/>
          <w:sz w:val="26"/>
          <w:szCs w:val="26"/>
        </w:rPr>
        <w:t xml:space="preserve"> от плановых назначений).</w:t>
      </w:r>
    </w:p>
    <w:p>
      <w:pPr>
        <w:pStyle w:val="Normal"/>
        <w:spacing w:lineRule="auto" w:line="240" w:before="0" w:after="0"/>
        <w:ind w:firstLine="709"/>
        <w:jc w:val="both"/>
        <w:rPr>
          <w:sz w:val="26"/>
          <w:szCs w:val="26"/>
        </w:rPr>
      </w:pPr>
      <w:r>
        <w:rPr>
          <w:rFonts w:cs="Times New Roman" w:ascii="Times New Roman" w:hAnsi="Times New Roman"/>
          <w:b w:val="false"/>
          <w:i w:val="false"/>
          <w:strike w:val="false"/>
          <w:dstrike w:val="false"/>
          <w:outline w:val="false"/>
          <w:shadow w:val="false"/>
          <w:sz w:val="26"/>
          <w:szCs w:val="26"/>
          <w:u w:val="none"/>
          <w:em w:val="none"/>
        </w:rPr>
        <w:t>Поступления н</w:t>
      </w:r>
      <w:r>
        <w:rPr>
          <w:rFonts w:ascii="Times New Roman" w:hAnsi="Times New Roman"/>
          <w:b w:val="false"/>
          <w:i w:val="false"/>
          <w:strike w:val="false"/>
          <w:dstrike w:val="false"/>
          <w:outline w:val="false"/>
          <w:shadow w:val="false"/>
          <w:sz w:val="26"/>
          <w:szCs w:val="26"/>
          <w:u w:val="none"/>
          <w:em w:val="none"/>
        </w:rPr>
        <w:t xml:space="preserve">алогов на товары (работы, услуги) реализуемые на территории РФ </w:t>
      </w:r>
      <w:r>
        <w:rPr>
          <w:rFonts w:cs="Times New Roman" w:ascii="Times New Roman" w:hAnsi="Times New Roman"/>
          <w:b w:val="false"/>
          <w:i w:val="false"/>
          <w:strike w:val="false"/>
          <w:dstrike w:val="false"/>
          <w:outline w:val="false"/>
          <w:shadow w:val="false"/>
          <w:sz w:val="26"/>
          <w:szCs w:val="26"/>
          <w:u w:val="none"/>
          <w:em w:val="none"/>
        </w:rPr>
        <w:t xml:space="preserve"> за 1 квартал текущего года составили 495,83 тыс. рублей, что составляет 30,8 процента в общем объеме доходов бюджета или 26,1 процента от плановых назначений. По сравнению с 1 кварталом 2017 года поступления увеличились на 12,03 тыс. рублей.</w:t>
      </w:r>
    </w:p>
    <w:p>
      <w:pPr>
        <w:pStyle w:val="Normal"/>
        <w:spacing w:lineRule="auto" w:line="240" w:before="0" w:after="0"/>
        <w:ind w:firstLine="709"/>
        <w:jc w:val="both"/>
        <w:rPr/>
      </w:pPr>
      <w:r>
        <w:rPr>
          <w:rFonts w:cs="Times New Roman" w:ascii="Times New Roman" w:hAnsi="Times New Roman"/>
          <w:b w:val="false"/>
          <w:i w:val="false"/>
          <w:strike w:val="false"/>
          <w:dstrike w:val="false"/>
          <w:outline w:val="false"/>
          <w:shadow w:val="false"/>
          <w:color w:val="00000A"/>
          <w:sz w:val="26"/>
          <w:szCs w:val="26"/>
          <w:u w:val="none"/>
          <w:em w:val="none"/>
        </w:rPr>
        <w:t>Д</w:t>
      </w:r>
      <w:r>
        <w:rPr>
          <w:rFonts w:ascii="Times New Roman" w:hAnsi="Times New Roman"/>
          <w:b w:val="false"/>
          <w:i w:val="false"/>
          <w:strike w:val="false"/>
          <w:dstrike w:val="false"/>
          <w:outline w:val="false"/>
          <w:shadow w:val="false"/>
          <w:color w:val="00000A"/>
          <w:sz w:val="26"/>
          <w:szCs w:val="26"/>
          <w:u w:val="none"/>
          <w:em w:val="none"/>
        </w:rPr>
        <w:t xml:space="preserve">оходы от оказания платных услуг </w:t>
      </w:r>
      <w:r>
        <w:rPr>
          <w:rFonts w:cs="Times New Roman" w:ascii="Times New Roman" w:hAnsi="Times New Roman"/>
          <w:b w:val="false"/>
          <w:i w:val="false"/>
          <w:strike w:val="false"/>
          <w:dstrike w:val="false"/>
          <w:outline w:val="false"/>
          <w:shadow w:val="false"/>
          <w:color w:val="00000A"/>
          <w:sz w:val="26"/>
          <w:szCs w:val="26"/>
          <w:u w:val="none"/>
          <w:em w:val="none"/>
        </w:rPr>
        <w:t xml:space="preserve">составили 65,14 тыс. рублей или 4 процента от общей суммы доходов бюджета, по сравнению с аналогичным периодом прошлого года, поступления увеличились на 18,66 тыс. рублей. Доходы  от оказания платных услуг планировались на 2018 год в размере 38,0 тыс. рублей., получено доходов в 1 квартале 2018г. 65,14 и составило 171,4 процента от плановых назначений, что говорит о некачественном планировании. </w:t>
      </w:r>
    </w:p>
    <w:p>
      <w:pPr>
        <w:pStyle w:val="Normal"/>
        <w:spacing w:lineRule="auto" w:line="240" w:before="0" w:after="0"/>
        <w:ind w:firstLine="709"/>
        <w:jc w:val="both"/>
        <w:rPr/>
      </w:pPr>
      <w:r>
        <w:rPr>
          <w:rFonts w:cs="Times New Roman" w:ascii="Times New Roman" w:hAnsi="Times New Roman"/>
          <w:sz w:val="26"/>
          <w:szCs w:val="26"/>
        </w:rPr>
        <w:t>На долю безвозмездных поступлений приходится 8,3 процента в общем объеме доходов, поступивших в бюджет по состоянию на 1 апреля 2018 года, сумма поступлений составила 132,85 тыс. рублей, в том числе за счет безвозмездных поступлений от других бюджетов бюджетной системы Российской Федерации в сумме 46,2 тыс. рублей или 3,2 процента от плановых назначений. Общий объем безвозмездных поступлений по сравнению с аналогичным периодом прошлого года снизился на 7,5 тыс. рублей.</w:t>
      </w:r>
    </w:p>
    <w:p>
      <w:pPr>
        <w:pStyle w:val="Normal"/>
        <w:spacing w:lineRule="auto" w:line="240" w:before="0" w:after="0"/>
        <w:ind w:firstLine="709"/>
        <w:jc w:val="both"/>
        <w:rPr/>
      </w:pPr>
      <w:r>
        <w:rPr>
          <w:rFonts w:cs="Times New Roman" w:ascii="Times New Roman" w:hAnsi="Times New Roman"/>
          <w:sz w:val="26"/>
          <w:szCs w:val="26"/>
        </w:rPr>
        <w:t>Расходы бюджета Кончезерского сельского поселения по состоянию на 01.04.2018 года составили 2 024,28 тыс. рублей или 22,5 процента от утвержденных бюджетных назначений на 2018 год. По сравнению с исполнением бюджета за 1 квартал прошлого года в целом расходы Кончезерского сельского поселения увеличились на 381,05 тыс. рублей.</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6"/>
          <w:szCs w:val="26"/>
        </w:rPr>
        <w:t>Анализ исполнения расходов за 1 квартал 2018года по разделам функциональной классификации  расходов приведен в следующей  таблице:</w:t>
      </w:r>
      <w:r>
        <w:rPr>
          <w:rFonts w:cs="Times New Roman" w:ascii="Times New Roman" w:hAnsi="Times New Roman"/>
          <w:sz w:val="28"/>
          <w:szCs w:val="28"/>
        </w:rPr>
        <w:t xml:space="preserve"> </w:t>
      </w:r>
    </w:p>
    <w:p>
      <w:pPr>
        <w:pStyle w:val="Normal"/>
        <w:spacing w:lineRule="auto" w:line="240" w:before="0" w:after="0"/>
        <w:ind w:firstLine="567"/>
        <w:jc w:val="both"/>
        <w:rPr/>
      </w:pPr>
      <w:r>
        <w:rPr/>
      </w:r>
    </w:p>
    <w:p>
      <w:pPr>
        <w:pStyle w:val="Normal"/>
        <w:spacing w:lineRule="auto" w:line="240" w:before="0" w:after="0"/>
        <w:ind w:firstLine="567"/>
        <w:jc w:val="right"/>
        <w:rPr>
          <w:rFonts w:ascii="Times New Roman" w:hAnsi="Times New Roman"/>
        </w:rPr>
      </w:pPr>
      <w:r>
        <w:rPr>
          <w:rFonts w:ascii="Times New Roman" w:hAnsi="Times New Roman"/>
        </w:rPr>
        <w:t>тысяч рублей</w:t>
      </w:r>
    </w:p>
    <w:tbl>
      <w:tblPr>
        <w:tblW w:w="946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Pr>
      <w:tblGrid>
        <w:gridCol w:w="3465"/>
        <w:gridCol w:w="840"/>
        <w:gridCol w:w="1073"/>
        <w:gridCol w:w="1012"/>
        <w:gridCol w:w="1053"/>
        <w:gridCol w:w="852"/>
        <w:gridCol w:w="1169"/>
      </w:tblGrid>
      <w:tr>
        <w:trPr/>
        <w:tc>
          <w:tcPr>
            <w:tcW w:w="3465"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bidi w:val="0"/>
              <w:jc w:val="center"/>
              <w:rPr>
                <w:rFonts w:ascii="Times New Roman" w:hAnsi="Times New Roman"/>
                <w:b/>
                <w:b/>
                <w:bCs/>
                <w:sz w:val="18"/>
                <w:szCs w:val="18"/>
              </w:rPr>
            </w:pPr>
            <w:r>
              <w:rPr>
                <w:rFonts w:ascii="Times New Roman" w:hAnsi="Times New Roman"/>
                <w:b/>
                <w:bCs/>
                <w:i w:val="false"/>
                <w:strike w:val="false"/>
                <w:dstrike w:val="false"/>
                <w:outline w:val="false"/>
                <w:shadow w:val="false"/>
                <w:color w:val="00000A"/>
                <w:sz w:val="18"/>
                <w:szCs w:val="18"/>
                <w:u w:val="none"/>
                <w:em w:val="none"/>
              </w:rPr>
              <w:t>Наименование</w:t>
            </w:r>
          </w:p>
          <w:p>
            <w:pPr>
              <w:pStyle w:val="Normal"/>
              <w:spacing w:before="0" w:after="160"/>
              <w:rPr>
                <w:rFonts w:ascii="Times New Roman" w:hAnsi="Times New Roman"/>
                <w:b/>
                <w:b/>
                <w:bCs/>
                <w:sz w:val="18"/>
                <w:szCs w:val="18"/>
              </w:rPr>
            </w:pPr>
            <w:r>
              <w:rPr>
                <w:rFonts w:ascii="Times New Roman" w:hAnsi="Times New Roman"/>
                <w:b/>
                <w:bCs/>
                <w:sz w:val="18"/>
                <w:szCs w:val="18"/>
              </w:rPr>
            </w:r>
          </w:p>
        </w:tc>
        <w:tc>
          <w:tcPr>
            <w:tcW w:w="84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bidi w:val="0"/>
              <w:spacing w:before="0" w:after="160"/>
              <w:jc w:val="center"/>
              <w:rPr>
                <w:rFonts w:ascii="Times New Roman" w:hAnsi="Times New Roman"/>
                <w:b/>
                <w:b/>
                <w:bCs/>
                <w:sz w:val="18"/>
                <w:szCs w:val="18"/>
              </w:rPr>
            </w:pPr>
            <w:r>
              <w:rPr>
                <w:rFonts w:ascii="Times New Roman" w:hAnsi="Times New Roman"/>
                <w:b/>
                <w:bCs/>
                <w:sz w:val="18"/>
                <w:szCs w:val="18"/>
              </w:rPr>
              <w:t>Раздел</w:t>
            </w:r>
          </w:p>
        </w:tc>
        <w:tc>
          <w:tcPr>
            <w:tcW w:w="1073"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bidi w:val="0"/>
              <w:jc w:val="center"/>
              <w:rPr>
                <w:rFonts w:ascii="Times New Roman" w:hAnsi="Times New Roman"/>
                <w:b/>
                <w:b/>
                <w:bCs/>
                <w:sz w:val="18"/>
                <w:szCs w:val="18"/>
              </w:rPr>
            </w:pPr>
            <w:r>
              <w:rPr>
                <w:rFonts w:ascii="Times New Roman" w:hAnsi="Times New Roman"/>
                <w:b/>
                <w:bCs/>
                <w:i w:val="false"/>
                <w:strike w:val="false"/>
                <w:dstrike w:val="false"/>
                <w:outline w:val="false"/>
                <w:shadow w:val="false"/>
                <w:color w:val="00000A"/>
                <w:sz w:val="18"/>
                <w:szCs w:val="18"/>
                <w:u w:val="none"/>
                <w:em w:val="none"/>
              </w:rPr>
              <w:t>Исполнено на 01.04.2017</w:t>
            </w:r>
          </w:p>
          <w:p>
            <w:pPr>
              <w:pStyle w:val="Normal"/>
              <w:spacing w:before="0" w:after="160"/>
              <w:rPr>
                <w:rFonts w:ascii="Times New Roman" w:hAnsi="Times New Roman"/>
                <w:b/>
                <w:b/>
                <w:bCs/>
                <w:sz w:val="18"/>
                <w:szCs w:val="18"/>
              </w:rPr>
            </w:pPr>
            <w:r>
              <w:rPr>
                <w:rFonts w:ascii="Times New Roman" w:hAnsi="Times New Roman"/>
                <w:b/>
                <w:bCs/>
                <w:sz w:val="18"/>
                <w:szCs w:val="18"/>
              </w:rPr>
            </w:r>
          </w:p>
        </w:tc>
        <w:tc>
          <w:tcPr>
            <w:tcW w:w="101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bidi w:val="0"/>
              <w:jc w:val="center"/>
              <w:rPr>
                <w:rFonts w:ascii="Times New Roman" w:hAnsi="Times New Roman"/>
                <w:b/>
                <w:b/>
                <w:bCs/>
                <w:sz w:val="18"/>
                <w:szCs w:val="18"/>
              </w:rPr>
            </w:pPr>
            <w:r>
              <w:rPr>
                <w:rFonts w:ascii="Times New Roman" w:hAnsi="Times New Roman"/>
                <w:b/>
                <w:bCs/>
                <w:i w:val="false"/>
                <w:strike w:val="false"/>
                <w:dstrike w:val="false"/>
                <w:outline w:val="false"/>
                <w:shadow w:val="false"/>
                <w:color w:val="00000A"/>
                <w:sz w:val="18"/>
                <w:szCs w:val="18"/>
                <w:u w:val="none"/>
                <w:em w:val="none"/>
              </w:rPr>
              <w:t>Удельный вес</w:t>
            </w:r>
          </w:p>
          <w:p>
            <w:pPr>
              <w:pStyle w:val="Normal"/>
              <w:spacing w:before="0" w:after="160"/>
              <w:rPr>
                <w:rFonts w:ascii="Times New Roman" w:hAnsi="Times New Roman"/>
                <w:b/>
                <w:b/>
                <w:bCs/>
                <w:sz w:val="18"/>
                <w:szCs w:val="18"/>
              </w:rPr>
            </w:pPr>
            <w:r>
              <w:rPr>
                <w:rFonts w:ascii="Times New Roman" w:hAnsi="Times New Roman"/>
                <w:b/>
                <w:bCs/>
                <w:sz w:val="18"/>
                <w:szCs w:val="18"/>
              </w:rPr>
            </w:r>
          </w:p>
        </w:tc>
        <w:tc>
          <w:tcPr>
            <w:tcW w:w="1053"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bidi w:val="0"/>
              <w:jc w:val="center"/>
              <w:rPr>
                <w:rFonts w:ascii="Times New Roman" w:hAnsi="Times New Roman"/>
                <w:b/>
                <w:b/>
                <w:i w:val="false"/>
                <w:i w:val="false"/>
                <w:strike w:val="false"/>
                <w:dstrike w:val="false"/>
                <w:outline w:val="false"/>
                <w:shadow w:val="false"/>
                <w:color w:val="00000A"/>
                <w:sz w:val="19"/>
                <w:u w:val="none"/>
                <w:em w:val="none"/>
              </w:rPr>
            </w:pPr>
            <w:r>
              <w:rPr>
                <w:rFonts w:ascii="Times New Roman" w:hAnsi="Times New Roman"/>
                <w:b/>
                <w:bCs/>
                <w:i w:val="false"/>
                <w:strike w:val="false"/>
                <w:dstrike w:val="false"/>
                <w:outline w:val="false"/>
                <w:shadow w:val="false"/>
                <w:color w:val="00000A"/>
                <w:sz w:val="18"/>
                <w:szCs w:val="18"/>
                <w:u w:val="none"/>
                <w:em w:val="none"/>
              </w:rPr>
              <w:t>Исполнено на 01.04.2018</w:t>
            </w:r>
          </w:p>
          <w:p>
            <w:pPr>
              <w:pStyle w:val="Normal"/>
              <w:spacing w:before="0" w:after="160"/>
              <w:rPr>
                <w:rFonts w:ascii="Times New Roman" w:hAnsi="Times New Roman"/>
                <w:b/>
                <w:b/>
                <w:bCs/>
                <w:sz w:val="18"/>
                <w:szCs w:val="18"/>
              </w:rPr>
            </w:pPr>
            <w:r>
              <w:rPr>
                <w:rFonts w:ascii="Times New Roman" w:hAnsi="Times New Roman"/>
                <w:b/>
                <w:bCs/>
                <w:sz w:val="18"/>
                <w:szCs w:val="18"/>
              </w:rPr>
            </w:r>
          </w:p>
        </w:tc>
        <w:tc>
          <w:tcPr>
            <w:tcW w:w="85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bidi w:val="0"/>
              <w:jc w:val="center"/>
              <w:rPr>
                <w:rFonts w:ascii="Times New Roman" w:hAnsi="Times New Roman"/>
                <w:b/>
                <w:b/>
                <w:bCs/>
                <w:sz w:val="18"/>
                <w:szCs w:val="18"/>
              </w:rPr>
            </w:pPr>
            <w:r>
              <w:rPr>
                <w:rFonts w:ascii="Times New Roman" w:hAnsi="Times New Roman"/>
                <w:b/>
                <w:bCs/>
                <w:i w:val="false"/>
                <w:strike w:val="false"/>
                <w:dstrike w:val="false"/>
                <w:outline w:val="false"/>
                <w:shadow w:val="false"/>
                <w:color w:val="00000A"/>
                <w:sz w:val="18"/>
                <w:szCs w:val="18"/>
                <w:u w:val="none"/>
                <w:em w:val="none"/>
              </w:rPr>
              <w:t>Удельный вес</w:t>
            </w:r>
          </w:p>
          <w:p>
            <w:pPr>
              <w:pStyle w:val="Normal"/>
              <w:spacing w:before="0" w:after="160"/>
              <w:rPr>
                <w:rFonts w:ascii="Times New Roman" w:hAnsi="Times New Roman"/>
                <w:b/>
                <w:b/>
                <w:bCs/>
                <w:sz w:val="18"/>
                <w:szCs w:val="18"/>
              </w:rPr>
            </w:pPr>
            <w:r>
              <w:rPr>
                <w:rFonts w:ascii="Times New Roman" w:hAnsi="Times New Roman"/>
                <w:b/>
                <w:bCs/>
                <w:sz w:val="18"/>
                <w:szCs w:val="18"/>
              </w:rPr>
            </w:r>
          </w:p>
        </w:tc>
        <w:tc>
          <w:tcPr>
            <w:tcW w:w="11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bidi w:val="0"/>
              <w:jc w:val="center"/>
              <w:rPr>
                <w:rFonts w:ascii="Times New Roman" w:hAnsi="Times New Roman"/>
                <w:b/>
                <w:b/>
                <w:bCs/>
                <w:sz w:val="18"/>
                <w:szCs w:val="18"/>
              </w:rPr>
            </w:pPr>
            <w:r>
              <w:rPr>
                <w:rFonts w:ascii="Times New Roman" w:hAnsi="Times New Roman"/>
                <w:b/>
                <w:bCs/>
                <w:i w:val="false"/>
                <w:strike w:val="false"/>
                <w:dstrike w:val="false"/>
                <w:outline w:val="false"/>
                <w:shadow w:val="false"/>
                <w:color w:val="00000A"/>
                <w:sz w:val="18"/>
                <w:szCs w:val="18"/>
                <w:u w:val="none"/>
                <w:em w:val="none"/>
              </w:rPr>
              <w:t>Отклонения</w:t>
            </w:r>
          </w:p>
          <w:p>
            <w:pPr>
              <w:pStyle w:val="Normal"/>
              <w:spacing w:before="0" w:after="160"/>
              <w:rPr>
                <w:rFonts w:ascii="Times New Roman" w:hAnsi="Times New Roman"/>
                <w:b/>
                <w:b/>
                <w:bCs/>
                <w:sz w:val="18"/>
                <w:szCs w:val="18"/>
              </w:rPr>
            </w:pPr>
            <w:r>
              <w:rPr>
                <w:rFonts w:ascii="Times New Roman" w:hAnsi="Times New Roman"/>
                <w:b/>
                <w:bCs/>
                <w:sz w:val="18"/>
                <w:szCs w:val="18"/>
              </w:rPr>
            </w:r>
          </w:p>
        </w:tc>
      </w:tr>
      <w:tr>
        <w:trPr>
          <w:trHeight w:val="326" w:hRule="atLeast"/>
        </w:trPr>
        <w:tc>
          <w:tcPr>
            <w:tcW w:w="3465"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b/>
                <w:b/>
                <w:bCs/>
                <w:sz w:val="16"/>
                <w:szCs w:val="16"/>
              </w:rPr>
            </w:pPr>
            <w:r>
              <w:rPr>
                <w:rFonts w:ascii="Times New Roman" w:hAnsi="Times New Roman"/>
                <w:b/>
                <w:bCs/>
                <w:sz w:val="16"/>
                <w:szCs w:val="16"/>
              </w:rPr>
              <w:t>1</w:t>
            </w:r>
          </w:p>
        </w:tc>
        <w:tc>
          <w:tcPr>
            <w:tcW w:w="84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b/>
                <w:b/>
                <w:bCs/>
                <w:sz w:val="16"/>
                <w:szCs w:val="16"/>
              </w:rPr>
            </w:pPr>
            <w:r>
              <w:rPr>
                <w:rFonts w:ascii="Times New Roman" w:hAnsi="Times New Roman"/>
                <w:b/>
                <w:bCs/>
                <w:sz w:val="16"/>
                <w:szCs w:val="16"/>
              </w:rPr>
              <w:t>2</w:t>
            </w:r>
          </w:p>
        </w:tc>
        <w:tc>
          <w:tcPr>
            <w:tcW w:w="1073"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b/>
                <w:b/>
                <w:bCs/>
                <w:sz w:val="16"/>
                <w:szCs w:val="16"/>
              </w:rPr>
            </w:pPr>
            <w:r>
              <w:rPr>
                <w:rFonts w:ascii="Times New Roman" w:hAnsi="Times New Roman"/>
                <w:b/>
                <w:bCs/>
                <w:sz w:val="16"/>
                <w:szCs w:val="16"/>
              </w:rPr>
              <w:t>3</w:t>
            </w:r>
          </w:p>
        </w:tc>
        <w:tc>
          <w:tcPr>
            <w:tcW w:w="101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b/>
                <w:b/>
                <w:bCs/>
                <w:sz w:val="16"/>
                <w:szCs w:val="16"/>
              </w:rPr>
            </w:pPr>
            <w:r>
              <w:rPr>
                <w:rFonts w:ascii="Times New Roman" w:hAnsi="Times New Roman"/>
                <w:b/>
                <w:bCs/>
                <w:sz w:val="16"/>
                <w:szCs w:val="16"/>
              </w:rPr>
              <w:t>4</w:t>
            </w:r>
          </w:p>
        </w:tc>
        <w:tc>
          <w:tcPr>
            <w:tcW w:w="1053"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b/>
                <w:b/>
                <w:bCs/>
                <w:sz w:val="16"/>
                <w:szCs w:val="16"/>
              </w:rPr>
            </w:pPr>
            <w:r>
              <w:rPr>
                <w:rFonts w:ascii="Times New Roman" w:hAnsi="Times New Roman"/>
                <w:b/>
                <w:bCs/>
                <w:sz w:val="16"/>
                <w:szCs w:val="16"/>
              </w:rPr>
              <w:t>5</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b/>
                <w:b/>
                <w:bCs/>
                <w:sz w:val="16"/>
                <w:szCs w:val="16"/>
              </w:rPr>
            </w:pPr>
            <w:r>
              <w:rPr>
                <w:rFonts w:ascii="Times New Roman" w:hAnsi="Times New Roman"/>
                <w:b/>
                <w:bCs/>
                <w:sz w:val="16"/>
                <w:szCs w:val="16"/>
              </w:rPr>
              <w:t>6</w:t>
            </w:r>
          </w:p>
        </w:tc>
        <w:tc>
          <w:tcPr>
            <w:tcW w:w="11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Style28"/>
              <w:spacing w:before="0" w:after="160"/>
              <w:jc w:val="center"/>
              <w:rPr>
                <w:rFonts w:ascii="Times New Roman" w:hAnsi="Times New Roman"/>
                <w:b/>
                <w:b/>
                <w:bCs/>
                <w:sz w:val="16"/>
                <w:szCs w:val="16"/>
              </w:rPr>
            </w:pPr>
            <w:r>
              <w:rPr>
                <w:rFonts w:ascii="Times New Roman" w:hAnsi="Times New Roman"/>
                <w:b/>
                <w:bCs/>
                <w:sz w:val="16"/>
                <w:szCs w:val="16"/>
              </w:rPr>
              <w:t>7</w:t>
            </w:r>
          </w:p>
        </w:tc>
      </w:tr>
      <w:tr>
        <w:trPr/>
        <w:tc>
          <w:tcPr>
            <w:tcW w:w="3465"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spacing w:before="0" w:after="160"/>
              <w:jc w:val="left"/>
              <w:rPr>
                <w:rFonts w:ascii="Times New Roman" w:hAnsi="Times New Roman"/>
                <w:b w:val="false"/>
                <w:b w:val="false"/>
                <w:bCs w:val="false"/>
              </w:rPr>
            </w:pPr>
            <w:r>
              <w:rPr>
                <w:rFonts w:ascii="Times New Roman" w:hAnsi="Times New Roman"/>
                <w:b w:val="false"/>
                <w:bCs w:val="false"/>
                <w:i w:val="false"/>
                <w:strike w:val="false"/>
                <w:dstrike w:val="false"/>
                <w:outline w:val="false"/>
                <w:shadow w:val="false"/>
                <w:color w:val="00000A"/>
                <w:sz w:val="19"/>
                <w:u w:val="none"/>
                <w:em w:val="none"/>
              </w:rPr>
              <w:t>Общегосударственные расходы</w:t>
            </w:r>
          </w:p>
        </w:tc>
        <w:tc>
          <w:tcPr>
            <w:tcW w:w="84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01</w:t>
            </w:r>
          </w:p>
        </w:tc>
        <w:tc>
          <w:tcPr>
            <w:tcW w:w="1073"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414,29</w:t>
            </w:r>
          </w:p>
        </w:tc>
        <w:tc>
          <w:tcPr>
            <w:tcW w:w="101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25,2</w:t>
            </w:r>
          </w:p>
        </w:tc>
        <w:tc>
          <w:tcPr>
            <w:tcW w:w="1053"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418,81</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20,7</w:t>
            </w:r>
          </w:p>
        </w:tc>
        <w:tc>
          <w:tcPr>
            <w:tcW w:w="11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4,52</w:t>
            </w:r>
          </w:p>
        </w:tc>
      </w:tr>
      <w:tr>
        <w:trPr/>
        <w:tc>
          <w:tcPr>
            <w:tcW w:w="3465"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spacing w:before="0" w:after="160"/>
              <w:jc w:val="left"/>
              <w:rPr>
                <w:rFonts w:ascii="Times New Roman" w:hAnsi="Times New Roman"/>
                <w:b w:val="false"/>
                <w:b w:val="false"/>
                <w:bCs w:val="false"/>
              </w:rPr>
            </w:pPr>
            <w:r>
              <w:rPr>
                <w:rFonts w:ascii="Times New Roman" w:hAnsi="Times New Roman"/>
                <w:b w:val="false"/>
                <w:bCs w:val="false"/>
                <w:i w:val="false"/>
                <w:strike w:val="false"/>
                <w:dstrike w:val="false"/>
                <w:outline w:val="false"/>
                <w:shadow w:val="false"/>
                <w:color w:val="00000A"/>
                <w:sz w:val="19"/>
                <w:u w:val="none"/>
                <w:em w:val="none"/>
              </w:rPr>
              <w:t>Национальная оборона</w:t>
            </w:r>
          </w:p>
        </w:tc>
        <w:tc>
          <w:tcPr>
            <w:tcW w:w="84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02</w:t>
            </w:r>
          </w:p>
        </w:tc>
        <w:tc>
          <w:tcPr>
            <w:tcW w:w="1073"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13,53</w:t>
            </w:r>
          </w:p>
        </w:tc>
        <w:tc>
          <w:tcPr>
            <w:tcW w:w="101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0,8</w:t>
            </w:r>
          </w:p>
        </w:tc>
        <w:tc>
          <w:tcPr>
            <w:tcW w:w="1053"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15,64</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0,8</w:t>
            </w:r>
          </w:p>
        </w:tc>
        <w:tc>
          <w:tcPr>
            <w:tcW w:w="11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2,11</w:t>
            </w:r>
          </w:p>
        </w:tc>
      </w:tr>
      <w:tr>
        <w:trPr/>
        <w:tc>
          <w:tcPr>
            <w:tcW w:w="3465"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spacing w:before="0" w:after="160"/>
              <w:jc w:val="left"/>
              <w:rPr>
                <w:rFonts w:ascii="Times New Roman" w:hAnsi="Times New Roman"/>
                <w:b w:val="false"/>
                <w:b w:val="false"/>
                <w:bCs w:val="false"/>
              </w:rPr>
            </w:pPr>
            <w:r>
              <w:rPr>
                <w:rFonts w:ascii="Times New Roman" w:hAnsi="Times New Roman"/>
                <w:b w:val="false"/>
                <w:bCs w:val="false"/>
                <w:i w:val="false"/>
                <w:strike w:val="false"/>
                <w:dstrike w:val="false"/>
                <w:outline w:val="false"/>
                <w:shadow w:val="false"/>
                <w:color w:val="00000A"/>
                <w:sz w:val="19"/>
                <w:u w:val="none"/>
                <w:em w:val="none"/>
              </w:rPr>
              <w:t xml:space="preserve"> </w:t>
            </w:r>
            <w:r>
              <w:rPr>
                <w:rFonts w:ascii="Times New Roman" w:hAnsi="Times New Roman"/>
                <w:b w:val="false"/>
                <w:bCs w:val="false"/>
                <w:i w:val="false"/>
                <w:strike w:val="false"/>
                <w:dstrike w:val="false"/>
                <w:outline w:val="false"/>
                <w:shadow w:val="false"/>
                <w:color w:val="00000A"/>
                <w:sz w:val="19"/>
                <w:u w:val="none"/>
                <w:em w:val="none"/>
              </w:rPr>
              <w:t>Национальная безопасность и правоохранительная деятельность</w:t>
            </w:r>
          </w:p>
        </w:tc>
        <w:tc>
          <w:tcPr>
            <w:tcW w:w="84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03</w:t>
            </w:r>
          </w:p>
        </w:tc>
        <w:tc>
          <w:tcPr>
            <w:tcW w:w="1073"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10,00</w:t>
            </w:r>
          </w:p>
        </w:tc>
        <w:tc>
          <w:tcPr>
            <w:tcW w:w="101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0,6</w:t>
            </w:r>
          </w:p>
        </w:tc>
        <w:tc>
          <w:tcPr>
            <w:tcW w:w="1053"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10,00</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0,5</w:t>
            </w:r>
          </w:p>
        </w:tc>
        <w:tc>
          <w:tcPr>
            <w:tcW w:w="11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0,00</w:t>
            </w:r>
          </w:p>
        </w:tc>
      </w:tr>
      <w:tr>
        <w:trPr/>
        <w:tc>
          <w:tcPr>
            <w:tcW w:w="3465"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spacing w:before="0" w:after="160"/>
              <w:jc w:val="left"/>
              <w:rPr>
                <w:rFonts w:ascii="Times New Roman" w:hAnsi="Times New Roman"/>
                <w:b w:val="false"/>
                <w:b w:val="false"/>
                <w:bCs w:val="false"/>
              </w:rPr>
            </w:pPr>
            <w:r>
              <w:rPr>
                <w:rFonts w:ascii="Times New Roman" w:hAnsi="Times New Roman"/>
                <w:b w:val="false"/>
                <w:bCs w:val="false"/>
                <w:i w:val="false"/>
                <w:strike w:val="false"/>
                <w:dstrike w:val="false"/>
                <w:outline w:val="false"/>
                <w:shadow w:val="false"/>
                <w:color w:val="00000A"/>
                <w:sz w:val="19"/>
                <w:u w:val="none"/>
                <w:em w:val="none"/>
              </w:rPr>
              <w:t>Национальная экономика</w:t>
            </w:r>
          </w:p>
        </w:tc>
        <w:tc>
          <w:tcPr>
            <w:tcW w:w="84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04</w:t>
            </w:r>
          </w:p>
        </w:tc>
        <w:tc>
          <w:tcPr>
            <w:tcW w:w="1073"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658,59</w:t>
            </w:r>
          </w:p>
        </w:tc>
        <w:tc>
          <w:tcPr>
            <w:tcW w:w="101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40,1</w:t>
            </w:r>
          </w:p>
        </w:tc>
        <w:tc>
          <w:tcPr>
            <w:tcW w:w="1053"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541,75</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26,8</w:t>
            </w:r>
          </w:p>
        </w:tc>
        <w:tc>
          <w:tcPr>
            <w:tcW w:w="11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-116,84</w:t>
            </w:r>
          </w:p>
        </w:tc>
      </w:tr>
      <w:tr>
        <w:trPr/>
        <w:tc>
          <w:tcPr>
            <w:tcW w:w="3465"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spacing w:before="0" w:after="160"/>
              <w:jc w:val="left"/>
              <w:rPr>
                <w:rFonts w:ascii="Times New Roman" w:hAnsi="Times New Roman"/>
                <w:b w:val="false"/>
                <w:b w:val="false"/>
                <w:bCs w:val="false"/>
              </w:rPr>
            </w:pPr>
            <w:r>
              <w:rPr>
                <w:rFonts w:ascii="Times New Roman" w:hAnsi="Times New Roman"/>
                <w:b w:val="false"/>
                <w:bCs w:val="false"/>
                <w:i w:val="false"/>
                <w:strike w:val="false"/>
                <w:dstrike w:val="false"/>
                <w:outline w:val="false"/>
                <w:shadow w:val="false"/>
                <w:color w:val="00000A"/>
                <w:sz w:val="19"/>
                <w:u w:val="none"/>
                <w:em w:val="none"/>
              </w:rPr>
              <w:t>Жилищно-коммунальное хозяйство</w:t>
            </w:r>
          </w:p>
        </w:tc>
        <w:tc>
          <w:tcPr>
            <w:tcW w:w="84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05</w:t>
            </w:r>
          </w:p>
        </w:tc>
        <w:tc>
          <w:tcPr>
            <w:tcW w:w="1073"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17,73</w:t>
            </w:r>
          </w:p>
        </w:tc>
        <w:tc>
          <w:tcPr>
            <w:tcW w:w="101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1,1</w:t>
            </w:r>
          </w:p>
        </w:tc>
        <w:tc>
          <w:tcPr>
            <w:tcW w:w="1053"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14,74</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0,7</w:t>
            </w:r>
          </w:p>
        </w:tc>
        <w:tc>
          <w:tcPr>
            <w:tcW w:w="11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-2,99</w:t>
            </w:r>
          </w:p>
        </w:tc>
      </w:tr>
      <w:tr>
        <w:trPr/>
        <w:tc>
          <w:tcPr>
            <w:tcW w:w="3465"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spacing w:before="0" w:after="160"/>
              <w:jc w:val="left"/>
              <w:rPr>
                <w:rFonts w:ascii="Times New Roman" w:hAnsi="Times New Roman"/>
                <w:b w:val="false"/>
                <w:b w:val="false"/>
                <w:bCs w:val="false"/>
              </w:rPr>
            </w:pPr>
            <w:r>
              <w:rPr>
                <w:rFonts w:ascii="Times New Roman" w:hAnsi="Times New Roman"/>
                <w:b w:val="false"/>
                <w:bCs w:val="false"/>
                <w:i w:val="false"/>
                <w:strike w:val="false"/>
                <w:dstrike w:val="false"/>
                <w:outline w:val="false"/>
                <w:shadow w:val="false"/>
                <w:color w:val="00000A"/>
                <w:sz w:val="19"/>
                <w:u w:val="none"/>
                <w:em w:val="none"/>
              </w:rPr>
              <w:t>Культура , кинематография</w:t>
            </w:r>
          </w:p>
        </w:tc>
        <w:tc>
          <w:tcPr>
            <w:tcW w:w="84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08</w:t>
            </w:r>
          </w:p>
        </w:tc>
        <w:tc>
          <w:tcPr>
            <w:tcW w:w="1073"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497,65</w:t>
            </w:r>
          </w:p>
        </w:tc>
        <w:tc>
          <w:tcPr>
            <w:tcW w:w="101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30,3</w:t>
            </w:r>
          </w:p>
        </w:tc>
        <w:tc>
          <w:tcPr>
            <w:tcW w:w="1053"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1003,10</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49,5</w:t>
            </w:r>
          </w:p>
        </w:tc>
        <w:tc>
          <w:tcPr>
            <w:tcW w:w="11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505,45</w:t>
            </w:r>
          </w:p>
        </w:tc>
      </w:tr>
      <w:tr>
        <w:trPr/>
        <w:tc>
          <w:tcPr>
            <w:tcW w:w="3465"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spacing w:before="0" w:after="160"/>
              <w:jc w:val="left"/>
              <w:rPr>
                <w:rFonts w:ascii="Times New Roman" w:hAnsi="Times New Roman"/>
                <w:b w:val="false"/>
                <w:b w:val="false"/>
                <w:bCs w:val="false"/>
              </w:rPr>
            </w:pPr>
            <w:r>
              <w:rPr>
                <w:rFonts w:ascii="Times New Roman" w:hAnsi="Times New Roman"/>
                <w:b w:val="false"/>
                <w:bCs w:val="false"/>
                <w:i w:val="false"/>
                <w:strike w:val="false"/>
                <w:dstrike w:val="false"/>
                <w:outline w:val="false"/>
                <w:shadow w:val="false"/>
                <w:color w:val="00000A"/>
                <w:sz w:val="19"/>
                <w:u w:val="none"/>
                <w:em w:val="none"/>
              </w:rPr>
              <w:t>Физическая культура и спорт</w:t>
            </w:r>
          </w:p>
        </w:tc>
        <w:tc>
          <w:tcPr>
            <w:tcW w:w="84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11</w:t>
            </w:r>
          </w:p>
        </w:tc>
        <w:tc>
          <w:tcPr>
            <w:tcW w:w="1073"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31,43</w:t>
            </w:r>
          </w:p>
        </w:tc>
        <w:tc>
          <w:tcPr>
            <w:tcW w:w="101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1,9</w:t>
            </w:r>
          </w:p>
        </w:tc>
        <w:tc>
          <w:tcPr>
            <w:tcW w:w="1053"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20,23</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1,00</w:t>
            </w:r>
          </w:p>
        </w:tc>
        <w:tc>
          <w:tcPr>
            <w:tcW w:w="11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Style28"/>
              <w:spacing w:before="0" w:after="160"/>
              <w:jc w:val="center"/>
              <w:rPr>
                <w:rFonts w:ascii="Times New Roman" w:hAnsi="Times New Roman"/>
              </w:rPr>
            </w:pPr>
            <w:r>
              <w:rPr>
                <w:rFonts w:ascii="Times New Roman" w:hAnsi="Times New Roman"/>
              </w:rPr>
              <w:t>-11,20</w:t>
            </w:r>
          </w:p>
        </w:tc>
      </w:tr>
      <w:tr>
        <w:trPr/>
        <w:tc>
          <w:tcPr>
            <w:tcW w:w="3465"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spacing w:before="0" w:after="160"/>
              <w:jc w:val="left"/>
              <w:rPr>
                <w:rFonts w:ascii="Times New Roman" w:hAnsi="Times New Roman"/>
              </w:rPr>
            </w:pPr>
            <w:r>
              <w:rPr>
                <w:rFonts w:ascii="Times New Roman" w:hAnsi="Times New Roman"/>
                <w:b/>
                <w:i w:val="false"/>
                <w:strike w:val="false"/>
                <w:dstrike w:val="false"/>
                <w:outline w:val="false"/>
                <w:shadow w:val="false"/>
                <w:color w:val="00000A"/>
                <w:sz w:val="19"/>
                <w:u w:val="none"/>
                <w:em w:val="none"/>
              </w:rPr>
              <w:t>Расходы всего</w:t>
            </w:r>
          </w:p>
        </w:tc>
        <w:tc>
          <w:tcPr>
            <w:tcW w:w="84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b/>
                <w:b/>
                <w:bCs/>
              </w:rPr>
            </w:pPr>
            <w:r>
              <w:rPr>
                <w:rFonts w:ascii="Times New Roman" w:hAnsi="Times New Roman"/>
                <w:b/>
                <w:bCs/>
              </w:rPr>
            </w:r>
          </w:p>
        </w:tc>
        <w:tc>
          <w:tcPr>
            <w:tcW w:w="1073"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b/>
                <w:b/>
                <w:bCs/>
              </w:rPr>
            </w:pPr>
            <w:r>
              <w:rPr>
                <w:rFonts w:ascii="Times New Roman" w:hAnsi="Times New Roman"/>
                <w:b/>
                <w:bCs/>
              </w:rPr>
              <w:t>1643,23</w:t>
            </w:r>
          </w:p>
        </w:tc>
        <w:tc>
          <w:tcPr>
            <w:tcW w:w="101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b/>
                <w:b/>
                <w:bCs/>
              </w:rPr>
            </w:pPr>
            <w:r>
              <w:rPr>
                <w:rFonts w:ascii="Times New Roman" w:hAnsi="Times New Roman"/>
                <w:b/>
                <w:bCs/>
              </w:rPr>
              <w:t>100,00</w:t>
            </w:r>
          </w:p>
        </w:tc>
        <w:tc>
          <w:tcPr>
            <w:tcW w:w="1053"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b/>
                <w:b/>
                <w:bCs/>
              </w:rPr>
            </w:pPr>
            <w:r>
              <w:rPr>
                <w:rFonts w:ascii="Times New Roman" w:hAnsi="Times New Roman"/>
                <w:b/>
                <w:bCs/>
              </w:rPr>
              <w:t>2024,28</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rFonts w:ascii="Times New Roman" w:hAnsi="Times New Roman"/>
                <w:b/>
                <w:b/>
                <w:bCs/>
              </w:rPr>
            </w:pPr>
            <w:r>
              <w:rPr>
                <w:rFonts w:ascii="Times New Roman" w:hAnsi="Times New Roman"/>
                <w:b/>
                <w:bCs/>
              </w:rPr>
              <w:t>100,00</w:t>
            </w:r>
          </w:p>
        </w:tc>
        <w:tc>
          <w:tcPr>
            <w:tcW w:w="11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Style28"/>
              <w:spacing w:before="0" w:after="160"/>
              <w:jc w:val="center"/>
              <w:rPr>
                <w:rFonts w:ascii="Times New Roman" w:hAnsi="Times New Roman"/>
                <w:b/>
                <w:b/>
                <w:bCs/>
              </w:rPr>
            </w:pPr>
            <w:r>
              <w:rPr>
                <w:rFonts w:ascii="Times New Roman" w:hAnsi="Times New Roman"/>
                <w:b/>
                <w:bCs/>
              </w:rPr>
              <w:t>381,05</w:t>
            </w:r>
          </w:p>
        </w:tc>
      </w:tr>
    </w:tbl>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170" w:after="0"/>
        <w:ind w:firstLine="567"/>
        <w:jc w:val="both"/>
        <w:rPr/>
      </w:pPr>
      <w:r>
        <w:rPr>
          <w:rFonts w:cs="Times New Roman" w:ascii="Times New Roman" w:hAnsi="Times New Roman"/>
          <w:sz w:val="26"/>
          <w:szCs w:val="26"/>
        </w:rPr>
        <w:t>В соответствии с данным анализом  наибольший удельный вес в структуре расходов за 1 квартал 2018 года занимают расходы на к</w:t>
      </w:r>
      <w:r>
        <w:rPr>
          <w:rFonts w:cs="Times New Roman" w:ascii="Times New Roman" w:hAnsi="Times New Roman"/>
          <w:b w:val="false"/>
          <w:bCs w:val="false"/>
          <w:i w:val="false"/>
          <w:strike w:val="false"/>
          <w:dstrike w:val="false"/>
          <w:outline w:val="false"/>
          <w:shadow w:val="false"/>
          <w:color w:val="00000A"/>
          <w:sz w:val="26"/>
          <w:szCs w:val="26"/>
          <w:u w:val="none"/>
          <w:em w:val="none"/>
        </w:rPr>
        <w:t>ультуру, кинематографию</w:t>
      </w:r>
      <w:r>
        <w:rPr>
          <w:rFonts w:cs="Times New Roman" w:ascii="Times New Roman" w:hAnsi="Times New Roman"/>
          <w:sz w:val="26"/>
          <w:szCs w:val="26"/>
        </w:rPr>
        <w:t xml:space="preserve"> – 49,5 процентов. В аналогичном периоде 2017 года наибольший удельный вес  занимали расходы на н</w:t>
      </w:r>
      <w:r>
        <w:rPr>
          <w:rFonts w:cs="Times New Roman" w:ascii="Times New Roman" w:hAnsi="Times New Roman"/>
          <w:b w:val="false"/>
          <w:bCs w:val="false"/>
          <w:i w:val="false"/>
          <w:strike w:val="false"/>
          <w:dstrike w:val="false"/>
          <w:outline w:val="false"/>
          <w:shadow w:val="false"/>
          <w:color w:val="00000A"/>
          <w:sz w:val="26"/>
          <w:szCs w:val="26"/>
          <w:u w:val="none"/>
          <w:em w:val="none"/>
        </w:rPr>
        <w:t>ациональную экономику</w:t>
      </w:r>
      <w:r>
        <w:rPr>
          <w:rFonts w:cs="Times New Roman" w:ascii="Times New Roman" w:hAnsi="Times New Roman"/>
          <w:sz w:val="26"/>
          <w:szCs w:val="26"/>
        </w:rPr>
        <w:t xml:space="preserve"> – 40,1 процент. </w:t>
      </w:r>
    </w:p>
    <w:p>
      <w:pPr>
        <w:pStyle w:val="Normal"/>
        <w:spacing w:lineRule="auto" w:line="276" w:before="0" w:after="0"/>
        <w:ind w:firstLine="567"/>
        <w:jc w:val="both"/>
        <w:rPr/>
      </w:pPr>
      <w:r>
        <w:rPr>
          <w:rFonts w:cs="Times New Roman" w:ascii="Times New Roman" w:hAnsi="Times New Roman"/>
          <w:sz w:val="26"/>
          <w:szCs w:val="26"/>
        </w:rPr>
        <w:t>Общегосударственные расходы составили 20,7 процента в общем объеме расходов за 1 квартал 2018года, расходы на н</w:t>
      </w:r>
      <w:r>
        <w:rPr>
          <w:rFonts w:cs="Times New Roman" w:ascii="Times New Roman" w:hAnsi="Times New Roman"/>
          <w:b w:val="false"/>
          <w:bCs w:val="false"/>
          <w:i w:val="false"/>
          <w:strike w:val="false"/>
          <w:dstrike w:val="false"/>
          <w:outline w:val="false"/>
          <w:shadow w:val="false"/>
          <w:color w:val="00000A"/>
          <w:sz w:val="26"/>
          <w:szCs w:val="26"/>
          <w:u w:val="none"/>
          <w:em w:val="none"/>
        </w:rPr>
        <w:t>ациональную оборону</w:t>
      </w:r>
      <w:r>
        <w:rPr>
          <w:rFonts w:cs="Times New Roman" w:ascii="Times New Roman" w:hAnsi="Times New Roman"/>
          <w:sz w:val="26"/>
          <w:szCs w:val="26"/>
        </w:rPr>
        <w:t xml:space="preserve"> – 0,8 процента, на н</w:t>
      </w:r>
      <w:r>
        <w:rPr>
          <w:rFonts w:cs="Times New Roman" w:ascii="Times New Roman" w:hAnsi="Times New Roman"/>
          <w:b w:val="false"/>
          <w:bCs w:val="false"/>
          <w:i w:val="false"/>
          <w:strike w:val="false"/>
          <w:dstrike w:val="false"/>
          <w:outline w:val="false"/>
          <w:shadow w:val="false"/>
          <w:color w:val="00000A"/>
          <w:sz w:val="26"/>
          <w:szCs w:val="26"/>
          <w:u w:val="none"/>
          <w:em w:val="none"/>
        </w:rPr>
        <w:t>ациональную безопасность и правоохранительную деятельность</w:t>
      </w:r>
      <w:r>
        <w:rPr>
          <w:rFonts w:cs="Times New Roman" w:ascii="Times New Roman" w:hAnsi="Times New Roman"/>
          <w:sz w:val="26"/>
          <w:szCs w:val="26"/>
        </w:rPr>
        <w:t xml:space="preserve"> — 0,5 процента, на национальную экономику – 26,8 процентов, на ж</w:t>
      </w:r>
      <w:r>
        <w:rPr>
          <w:rFonts w:cs="Times New Roman" w:ascii="Times New Roman" w:hAnsi="Times New Roman"/>
          <w:b w:val="false"/>
          <w:bCs w:val="false"/>
          <w:i w:val="false"/>
          <w:strike w:val="false"/>
          <w:dstrike w:val="false"/>
          <w:outline w:val="false"/>
          <w:shadow w:val="false"/>
          <w:color w:val="00000A"/>
          <w:sz w:val="26"/>
          <w:szCs w:val="26"/>
          <w:u w:val="none"/>
          <w:em w:val="none"/>
        </w:rPr>
        <w:t xml:space="preserve">илищно-коммунальное хозяйство — 0,7 процента, </w:t>
      </w:r>
      <w:r>
        <w:rPr>
          <w:rFonts w:cs="Times New Roman" w:ascii="Times New Roman" w:hAnsi="Times New Roman"/>
          <w:sz w:val="26"/>
          <w:szCs w:val="26"/>
        </w:rPr>
        <w:t xml:space="preserve"> на физическую культуру и спорт – 1 процент.  </w:t>
      </w:r>
    </w:p>
    <w:p>
      <w:pPr>
        <w:pStyle w:val="Normal"/>
        <w:spacing w:lineRule="auto" w:line="276" w:before="0" w:after="0"/>
        <w:ind w:firstLine="567"/>
        <w:jc w:val="both"/>
        <w:rPr/>
      </w:pPr>
      <w:r>
        <w:rPr>
          <w:rFonts w:cs="Times New Roman" w:ascii="Times New Roman" w:hAnsi="Times New Roman"/>
          <w:sz w:val="26"/>
          <w:szCs w:val="26"/>
          <w:lang w:eastAsia="ru-RU"/>
        </w:rPr>
        <w:t xml:space="preserve">Анализ исполнение бюджета Кончезерского сельского поселения по расходам за 1 квартал 2018 года по разделам, подразделам бюджетной классификации в сравнении с аналогичным периодом 2017 года, приведены в Приложение № 2. </w:t>
      </w:r>
    </w:p>
    <w:p>
      <w:pPr>
        <w:pStyle w:val="Normal"/>
        <w:spacing w:lineRule="auto" w:line="276" w:before="0" w:after="0"/>
        <w:ind w:firstLine="567"/>
        <w:jc w:val="both"/>
        <w:rPr/>
      </w:pPr>
      <w:r>
        <w:rPr>
          <w:rFonts w:cs="Times New Roman" w:ascii="Times New Roman" w:hAnsi="Times New Roman"/>
          <w:sz w:val="26"/>
          <w:szCs w:val="26"/>
          <w:highlight w:val="white"/>
        </w:rPr>
        <w:t>При среднем уровне исполнения плановых назначений по расходам в размере 22,5 процентов, уровень исполнения по разделам сложился от 0,74 процента («Ж</w:t>
      </w:r>
      <w:r>
        <w:rPr>
          <w:rFonts w:cs="Times New Roman" w:ascii="Times New Roman" w:hAnsi="Times New Roman"/>
          <w:b w:val="false"/>
          <w:bCs w:val="false"/>
          <w:i w:val="false"/>
          <w:strike w:val="false"/>
          <w:dstrike w:val="false"/>
          <w:outline w:val="false"/>
          <w:shadow w:val="false"/>
          <w:color w:val="00000A"/>
          <w:sz w:val="26"/>
          <w:szCs w:val="26"/>
          <w:highlight w:val="white"/>
          <w:u w:val="none"/>
          <w:em w:val="none"/>
        </w:rPr>
        <w:t>илищно-коммунальное хозяйство</w:t>
      </w:r>
      <w:r>
        <w:rPr>
          <w:rFonts w:cs="Times New Roman" w:ascii="Times New Roman" w:hAnsi="Times New Roman"/>
          <w:sz w:val="26"/>
          <w:szCs w:val="26"/>
          <w:highlight w:val="white"/>
        </w:rPr>
        <w:t>») до 100 процентов («н</w:t>
      </w:r>
      <w:r>
        <w:rPr>
          <w:rFonts w:cs="Times New Roman" w:ascii="Times New Roman" w:hAnsi="Times New Roman"/>
          <w:b w:val="false"/>
          <w:bCs w:val="false"/>
          <w:i w:val="false"/>
          <w:strike w:val="false"/>
          <w:dstrike w:val="false"/>
          <w:outline w:val="false"/>
          <w:shadow w:val="false"/>
          <w:color w:val="00000A"/>
          <w:sz w:val="26"/>
          <w:szCs w:val="26"/>
          <w:highlight w:val="white"/>
          <w:u w:val="none"/>
          <w:em w:val="none"/>
        </w:rPr>
        <w:t>ациональную безопасность и правоохранительную деятельность</w:t>
      </w:r>
      <w:r>
        <w:rPr>
          <w:rFonts w:cs="Times New Roman" w:ascii="Times New Roman" w:hAnsi="Times New Roman"/>
          <w:sz w:val="26"/>
          <w:szCs w:val="26"/>
          <w:highlight w:val="white"/>
        </w:rPr>
        <w:t>»).</w:t>
      </w:r>
    </w:p>
    <w:p>
      <w:pPr>
        <w:pStyle w:val="Normal"/>
        <w:spacing w:lineRule="auto" w:line="276" w:before="0" w:after="0"/>
        <w:ind w:firstLine="567"/>
        <w:jc w:val="both"/>
        <w:rPr/>
      </w:pPr>
      <w:r>
        <w:rPr>
          <w:rFonts w:cs="Times New Roman" w:ascii="Times New Roman" w:hAnsi="Times New Roman"/>
          <w:sz w:val="26"/>
          <w:szCs w:val="26"/>
          <w:highlight w:val="white"/>
        </w:rPr>
        <w:t xml:space="preserve">При анализе исполнения бюджета по расходам в 1 квартале 2018 года объем расходования средств увеличился в сравнении с аналогичным периодом прошлого года. </w:t>
      </w:r>
    </w:p>
    <w:p>
      <w:pPr>
        <w:pStyle w:val="Normal"/>
        <w:spacing w:lineRule="auto" w:line="276" w:before="0" w:after="0"/>
        <w:ind w:firstLine="567"/>
        <w:jc w:val="both"/>
        <w:rPr/>
      </w:pPr>
      <w:r>
        <w:rPr>
          <w:rFonts w:cs="Times New Roman" w:ascii="Times New Roman" w:hAnsi="Times New Roman"/>
          <w:sz w:val="26"/>
          <w:szCs w:val="26"/>
          <w:highlight w:val="white"/>
        </w:rPr>
        <w:t>Наибольшее увеличение расходов в сравнении с аналогичным периодом прошлого года, сложилось по разделу «К</w:t>
      </w:r>
      <w:r>
        <w:rPr>
          <w:rFonts w:cs="Times New Roman" w:ascii="Times New Roman" w:hAnsi="Times New Roman"/>
          <w:b w:val="false"/>
          <w:bCs w:val="false"/>
          <w:i w:val="false"/>
          <w:strike w:val="false"/>
          <w:dstrike w:val="false"/>
          <w:outline w:val="false"/>
          <w:shadow w:val="false"/>
          <w:color w:val="00000A"/>
          <w:sz w:val="26"/>
          <w:szCs w:val="26"/>
          <w:highlight w:val="white"/>
          <w:u w:val="none"/>
          <w:em w:val="none"/>
        </w:rPr>
        <w:t>ультура, кинематография</w:t>
      </w:r>
      <w:r>
        <w:rPr>
          <w:rFonts w:cs="Times New Roman" w:ascii="Times New Roman" w:hAnsi="Times New Roman"/>
          <w:sz w:val="26"/>
          <w:szCs w:val="26"/>
          <w:highlight w:val="white"/>
        </w:rPr>
        <w:t xml:space="preserve">» подраздел «Культура» на сумму 505,45 тыс. рублей. </w:t>
      </w:r>
    </w:p>
    <w:p>
      <w:pPr>
        <w:pStyle w:val="Normal"/>
        <w:spacing w:lineRule="auto" w:line="276" w:before="0" w:after="0"/>
        <w:ind w:firstLine="567"/>
        <w:jc w:val="both"/>
        <w:rPr/>
      </w:pPr>
      <w:r>
        <w:rPr>
          <w:rFonts w:cs="Times New Roman" w:ascii="Times New Roman" w:hAnsi="Times New Roman"/>
          <w:sz w:val="26"/>
          <w:szCs w:val="26"/>
          <w:highlight w:val="white"/>
        </w:rPr>
        <w:t>В сторону уменьшения наибольшее отклонение исполнения расходов сложилось по разделу «Национальная экономика</w:t>
      </w:r>
      <w:r>
        <w:rPr>
          <w:rFonts w:cs="Times New Roman" w:ascii="Times New Roman" w:hAnsi="Times New Roman"/>
          <w:bCs/>
          <w:sz w:val="26"/>
          <w:szCs w:val="26"/>
          <w:highlight w:val="white"/>
        </w:rPr>
        <w:t xml:space="preserve">» подраздел </w:t>
      </w:r>
      <w:r>
        <w:rPr>
          <w:rFonts w:cs="Times New Roman" w:ascii="Times New Roman" w:hAnsi="Times New Roman"/>
          <w:b w:val="false"/>
          <w:bCs/>
          <w:i w:val="false"/>
          <w:strike w:val="false"/>
          <w:dstrike w:val="false"/>
          <w:outline w:val="false"/>
          <w:shadow w:val="false"/>
          <w:color w:val="00000A"/>
          <w:sz w:val="26"/>
          <w:szCs w:val="26"/>
          <w:highlight w:val="white"/>
          <w:u w:val="none"/>
          <w:em w:val="none"/>
        </w:rPr>
        <w:t>«</w:t>
      </w:r>
      <w:r>
        <w:rPr>
          <w:rFonts w:ascii="Times New Roman" w:hAnsi="Times New Roman"/>
          <w:b w:val="false"/>
          <w:i w:val="false"/>
          <w:strike w:val="false"/>
          <w:dstrike w:val="false"/>
          <w:outline w:val="false"/>
          <w:shadow w:val="false"/>
          <w:color w:val="00000A"/>
          <w:sz w:val="26"/>
          <w:szCs w:val="26"/>
          <w:u w:val="none"/>
          <w:em w:val="none"/>
        </w:rPr>
        <w:t xml:space="preserve">Дорожное хозяйство (дорожные фонды)» </w:t>
      </w:r>
      <w:r>
        <w:rPr>
          <w:rFonts w:cs="Times New Roman" w:ascii="Times New Roman" w:hAnsi="Times New Roman"/>
          <w:bCs/>
          <w:sz w:val="26"/>
          <w:szCs w:val="26"/>
          <w:highlight w:val="white"/>
        </w:rPr>
        <w:t xml:space="preserve">на сумму 116,84 тыс. рублей. </w:t>
      </w:r>
      <w:r>
        <w:rPr>
          <w:rFonts w:cs="Times New Roman" w:ascii="Times New Roman" w:hAnsi="Times New Roman"/>
          <w:sz w:val="26"/>
          <w:szCs w:val="26"/>
          <w:highlight w:val="white"/>
        </w:rPr>
        <w:t xml:space="preserve"> </w:t>
      </w:r>
    </w:p>
    <w:p>
      <w:pPr>
        <w:pStyle w:val="ListParagraph"/>
        <w:spacing w:lineRule="auto" w:line="276" w:before="0" w:after="0"/>
        <w:ind w:left="0" w:firstLine="567"/>
        <w:contextualSpacing/>
        <w:jc w:val="both"/>
        <w:rPr/>
      </w:pPr>
      <w:r>
        <w:rPr>
          <w:rFonts w:cs="Times New Roman" w:ascii="Times New Roman" w:hAnsi="Times New Roman"/>
          <w:sz w:val="26"/>
          <w:szCs w:val="26"/>
          <w:highlight w:val="white"/>
        </w:rPr>
        <w:t xml:space="preserve">Главный распорядитель -  Администрация Кончезерского сельского поселения исполнила бюджет в анализируемом периоде ниже квартальных значений (25%).   </w:t>
      </w:r>
    </w:p>
    <w:p>
      <w:pPr>
        <w:pStyle w:val="ListParagraph"/>
        <w:spacing w:lineRule="auto" w:line="276" w:before="0" w:after="0"/>
        <w:ind w:left="0" w:firstLine="737"/>
        <w:contextualSpacing/>
        <w:jc w:val="both"/>
        <w:rPr/>
      </w:pPr>
      <w:r>
        <w:rPr>
          <w:rFonts w:cs="Times New Roman" w:ascii="Times New Roman" w:hAnsi="Times New Roman"/>
          <w:sz w:val="26"/>
          <w:szCs w:val="26"/>
          <w:highlight w:val="white"/>
        </w:rPr>
        <w:t xml:space="preserve">Исполнение бюджета Кончезерского сельского поселения за </w:t>
      </w:r>
      <w:r>
        <w:rPr>
          <w:rFonts w:cs="Times New Roman" w:ascii="Times New Roman" w:hAnsi="Times New Roman"/>
          <w:sz w:val="26"/>
          <w:szCs w:val="26"/>
          <w:highlight w:val="white"/>
          <w:lang w:val="en-US"/>
        </w:rPr>
        <w:t>I</w:t>
      </w:r>
      <w:r>
        <w:rPr>
          <w:rFonts w:cs="Times New Roman" w:ascii="Times New Roman" w:hAnsi="Times New Roman"/>
          <w:sz w:val="26"/>
          <w:szCs w:val="26"/>
          <w:highlight w:val="white"/>
        </w:rPr>
        <w:t xml:space="preserve"> квартал 2018 года в разрезе сгруппированных по видам расходов представлено ниже: </w:t>
      </w:r>
    </w:p>
    <w:p>
      <w:pPr>
        <w:pStyle w:val="ListParagraph"/>
        <w:spacing w:lineRule="auto" w:line="276" w:before="0" w:after="0"/>
        <w:ind w:left="0" w:firstLine="737"/>
        <w:contextualSpacing/>
        <w:jc w:val="both"/>
        <w:rPr>
          <w:rFonts w:ascii="Times New Roman" w:hAnsi="Times New Roman" w:cs="Times New Roman"/>
          <w:sz w:val="26"/>
          <w:szCs w:val="26"/>
          <w:highlight w:val="white"/>
        </w:rPr>
      </w:pPr>
      <w:r>
        <w:rPr>
          <w:rFonts w:cs="Times New Roman" w:ascii="Times New Roman" w:hAnsi="Times New Roman"/>
          <w:sz w:val="26"/>
          <w:szCs w:val="26"/>
          <w:highlight w:val="white"/>
        </w:rPr>
      </w:r>
    </w:p>
    <w:p>
      <w:pPr>
        <w:pStyle w:val="ListParagraph"/>
        <w:spacing w:lineRule="auto" w:line="240" w:before="0" w:after="0"/>
        <w:ind w:left="0" w:firstLine="737"/>
        <w:contextualSpacing/>
        <w:jc w:val="right"/>
        <w:rPr/>
      </w:pPr>
      <w:r>
        <w:rPr>
          <w:rFonts w:cs="Times New Roman" w:ascii="Times New Roman" w:hAnsi="Times New Roman"/>
          <w:sz w:val="18"/>
          <w:szCs w:val="18"/>
          <w:highlight w:val="white"/>
        </w:rPr>
        <w:t>тыс. рублей</w:t>
      </w:r>
    </w:p>
    <w:tbl>
      <w:tblPr>
        <w:tblW w:w="9360" w:type="dxa"/>
        <w:jc w:val="left"/>
        <w:tblInd w:w="7" w:type="dxa"/>
        <w:tblBorders>
          <w:top w:val="single" w:sz="2" w:space="0" w:color="00000A"/>
          <w:left w:val="single" w:sz="2" w:space="0" w:color="00000A"/>
          <w:bottom w:val="single" w:sz="2" w:space="0" w:color="000001"/>
          <w:right w:val="single" w:sz="2" w:space="0" w:color="00000A"/>
          <w:insideH w:val="single" w:sz="2" w:space="0" w:color="000001"/>
          <w:insideV w:val="single" w:sz="2" w:space="0" w:color="00000A"/>
        </w:tblBorders>
        <w:tblCellMar>
          <w:top w:w="28" w:type="dxa"/>
          <w:left w:w="-2" w:type="dxa"/>
          <w:bottom w:w="28" w:type="dxa"/>
          <w:right w:w="28" w:type="dxa"/>
        </w:tblCellMar>
      </w:tblPr>
      <w:tblGrid>
        <w:gridCol w:w="892"/>
        <w:gridCol w:w="3356"/>
        <w:gridCol w:w="1122"/>
        <w:gridCol w:w="1069"/>
        <w:gridCol w:w="1082"/>
        <w:gridCol w:w="918"/>
        <w:gridCol w:w="920"/>
      </w:tblGrid>
      <w:tr>
        <w:trPr>
          <w:trHeight w:val="795" w:hRule="atLeast"/>
        </w:trPr>
        <w:tc>
          <w:tcPr>
            <w:tcW w:w="892" w:type="dxa"/>
            <w:tcBorders>
              <w:top w:val="single" w:sz="2" w:space="0" w:color="00000A"/>
              <w:left w:val="single" w:sz="2" w:space="0" w:color="00000A"/>
              <w:bottom w:val="single" w:sz="2" w:space="0" w:color="000001"/>
              <w:right w:val="single" w:sz="2" w:space="0" w:color="00000A"/>
              <w:insideH w:val="single" w:sz="2" w:space="0" w:color="000001"/>
              <w:insideV w:val="single" w:sz="2" w:space="0" w:color="00000A"/>
            </w:tcBorders>
            <w:shd w:fill="FFFFFF" w:val="clear"/>
            <w:tcMar>
              <w:left w:w="-2" w:type="dxa"/>
            </w:tcMar>
          </w:tcPr>
          <w:p>
            <w:pPr>
              <w:pStyle w:val="Style28"/>
              <w:spacing w:before="0" w:after="160"/>
              <w:jc w:val="center"/>
              <w:rPr>
                <w:rFonts w:ascii="Times New Roman" w:hAnsi="Times New Roman"/>
                <w:color w:val="00000A"/>
                <w:sz w:val="20"/>
                <w:szCs w:val="20"/>
              </w:rPr>
            </w:pPr>
            <w:r>
              <w:rPr>
                <w:rFonts w:ascii="Times New Roman" w:hAnsi="Times New Roman"/>
                <w:color w:val="00000A"/>
                <w:sz w:val="20"/>
                <w:szCs w:val="20"/>
              </w:rPr>
              <w:t>Группы видов расходов</w:t>
            </w:r>
          </w:p>
        </w:tc>
        <w:tc>
          <w:tcPr>
            <w:tcW w:w="335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8"/>
              <w:spacing w:before="0" w:after="160"/>
              <w:jc w:val="center"/>
              <w:rPr>
                <w:rFonts w:ascii="Times New Roman" w:hAnsi="Times New Roman"/>
                <w:color w:val="00000A"/>
                <w:sz w:val="20"/>
                <w:szCs w:val="20"/>
              </w:rPr>
            </w:pPr>
            <w:r>
              <w:rPr>
                <w:rFonts w:ascii="Times New Roman" w:hAnsi="Times New Roman"/>
                <w:color w:val="00000A"/>
                <w:sz w:val="20"/>
                <w:szCs w:val="20"/>
              </w:rPr>
              <w:t>Наименование</w:t>
            </w:r>
          </w:p>
        </w:tc>
        <w:tc>
          <w:tcPr>
            <w:tcW w:w="112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8"/>
              <w:spacing w:before="0" w:after="160"/>
              <w:jc w:val="center"/>
              <w:rPr>
                <w:rFonts w:ascii="Times New Roman" w:hAnsi="Times New Roman"/>
                <w:color w:val="00000A"/>
                <w:sz w:val="20"/>
                <w:szCs w:val="20"/>
              </w:rPr>
            </w:pPr>
            <w:r>
              <w:rPr>
                <w:rFonts w:ascii="Times New Roman" w:hAnsi="Times New Roman"/>
                <w:color w:val="00000A"/>
                <w:sz w:val="20"/>
                <w:szCs w:val="20"/>
              </w:rPr>
              <w:t>Утверждено на 01.04.2018г.</w:t>
            </w:r>
          </w:p>
        </w:tc>
        <w:tc>
          <w:tcPr>
            <w:tcW w:w="106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8"/>
              <w:spacing w:before="0" w:after="160"/>
              <w:jc w:val="center"/>
              <w:rPr>
                <w:rFonts w:ascii="Times New Roman" w:hAnsi="Times New Roman"/>
                <w:color w:val="00000A"/>
                <w:sz w:val="20"/>
                <w:szCs w:val="20"/>
              </w:rPr>
            </w:pPr>
            <w:r>
              <w:rPr>
                <w:rFonts w:ascii="Times New Roman" w:hAnsi="Times New Roman"/>
                <w:color w:val="00000A"/>
                <w:sz w:val="20"/>
                <w:szCs w:val="20"/>
              </w:rPr>
              <w:t>Доля в общих расходах (%)</w:t>
            </w:r>
          </w:p>
        </w:tc>
        <w:tc>
          <w:tcPr>
            <w:tcW w:w="108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8"/>
              <w:spacing w:before="0" w:after="160"/>
              <w:jc w:val="center"/>
              <w:rPr>
                <w:rFonts w:ascii="Times New Roman" w:hAnsi="Times New Roman"/>
                <w:color w:val="00000A"/>
                <w:sz w:val="20"/>
                <w:szCs w:val="20"/>
              </w:rPr>
            </w:pPr>
            <w:r>
              <w:rPr>
                <w:rFonts w:ascii="Times New Roman" w:hAnsi="Times New Roman"/>
                <w:color w:val="00000A"/>
                <w:sz w:val="20"/>
                <w:szCs w:val="20"/>
              </w:rPr>
              <w:t xml:space="preserve">Исполнение за 1 квартал </w:t>
            </w:r>
          </w:p>
        </w:tc>
        <w:tc>
          <w:tcPr>
            <w:tcW w:w="91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8"/>
              <w:spacing w:before="0" w:after="160"/>
              <w:jc w:val="center"/>
              <w:rPr/>
            </w:pPr>
            <w:r>
              <w:rPr>
                <w:rFonts w:ascii="Times New Roman" w:hAnsi="Times New Roman"/>
                <w:color w:val="00000A"/>
                <w:sz w:val="20"/>
                <w:szCs w:val="20"/>
              </w:rPr>
              <w:t>Доля в общих расходах (%)</w:t>
            </w:r>
          </w:p>
        </w:tc>
        <w:tc>
          <w:tcPr>
            <w:tcW w:w="9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tcPr>
          <w:p>
            <w:pPr>
              <w:pStyle w:val="Style28"/>
              <w:spacing w:before="0" w:after="160"/>
              <w:jc w:val="center"/>
              <w:rPr>
                <w:rFonts w:ascii="Times New Roman" w:hAnsi="Times New Roman"/>
                <w:color w:val="00000A"/>
                <w:sz w:val="20"/>
                <w:szCs w:val="20"/>
              </w:rPr>
            </w:pPr>
            <w:r>
              <w:rPr>
                <w:rFonts w:ascii="Times New Roman" w:hAnsi="Times New Roman"/>
                <w:color w:val="00000A"/>
                <w:sz w:val="20"/>
                <w:szCs w:val="20"/>
              </w:rPr>
              <w:t>% исполнения</w:t>
            </w:r>
          </w:p>
        </w:tc>
      </w:tr>
      <w:tr>
        <w:trPr>
          <w:trHeight w:val="1215" w:hRule="atLeast"/>
        </w:trPr>
        <w:tc>
          <w:tcPr>
            <w:tcW w:w="8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rFonts w:ascii="Times New Roman" w:hAnsi="Times New Roman"/>
                <w:color w:val="00000A"/>
                <w:sz w:val="20"/>
                <w:szCs w:val="20"/>
              </w:rPr>
            </w:pPr>
            <w:r>
              <w:rPr>
                <w:rFonts w:ascii="Times New Roman" w:hAnsi="Times New Roman"/>
                <w:color w:val="00000A"/>
                <w:sz w:val="20"/>
                <w:szCs w:val="20"/>
              </w:rPr>
              <w:t>100</w:t>
            </w:r>
          </w:p>
        </w:tc>
        <w:tc>
          <w:tcPr>
            <w:tcW w:w="335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left"/>
              <w:rPr>
                <w:rFonts w:ascii="Times New Roman" w:hAnsi="Times New Roman"/>
                <w:color w:val="00000A"/>
                <w:sz w:val="20"/>
                <w:szCs w:val="20"/>
              </w:rPr>
            </w:pPr>
            <w:r>
              <w:rPr>
                <w:rFonts w:ascii="Times New Roman" w:hAnsi="Times New Roman"/>
                <w:color w:val="00000A"/>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112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pPr>
            <w:r>
              <w:rPr>
                <w:rFonts w:ascii="Times New Roman" w:hAnsi="Times New Roman"/>
                <w:color w:val="00000A"/>
                <w:sz w:val="20"/>
                <w:szCs w:val="20"/>
              </w:rPr>
              <w:t>3118,21</w:t>
            </w:r>
          </w:p>
        </w:tc>
        <w:tc>
          <w:tcPr>
            <w:tcW w:w="106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pPr>
            <w:r>
              <w:rPr>
                <w:rFonts w:ascii="Times New Roman" w:hAnsi="Times New Roman"/>
                <w:color w:val="00000A"/>
                <w:sz w:val="20"/>
                <w:szCs w:val="20"/>
              </w:rPr>
              <w:t>34,7</w:t>
            </w:r>
          </w:p>
        </w:tc>
        <w:tc>
          <w:tcPr>
            <w:tcW w:w="108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pPr>
            <w:r>
              <w:rPr>
                <w:rFonts w:ascii="Times New Roman" w:hAnsi="Times New Roman"/>
                <w:color w:val="00000A"/>
                <w:sz w:val="20"/>
                <w:szCs w:val="20"/>
              </w:rPr>
              <w:t>593,41</w:t>
            </w:r>
          </w:p>
        </w:tc>
        <w:tc>
          <w:tcPr>
            <w:tcW w:w="91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rFonts w:ascii="Times New Roman" w:hAnsi="Times New Roman"/>
              </w:rPr>
            </w:pPr>
            <w:r>
              <w:rPr>
                <w:rFonts w:ascii="Times New Roman" w:hAnsi="Times New Roman"/>
              </w:rPr>
              <w:t>29,3</w:t>
            </w:r>
          </w:p>
        </w:tc>
        <w:tc>
          <w:tcPr>
            <w:tcW w:w="9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pPr>
            <w:r>
              <w:rPr>
                <w:rFonts w:ascii="Times New Roman" w:hAnsi="Times New Roman"/>
                <w:color w:val="00000A"/>
                <w:sz w:val="20"/>
                <w:szCs w:val="20"/>
              </w:rPr>
              <w:t>19,0</w:t>
            </w:r>
          </w:p>
        </w:tc>
      </w:tr>
      <w:tr>
        <w:trPr>
          <w:trHeight w:val="596" w:hRule="atLeast"/>
        </w:trPr>
        <w:tc>
          <w:tcPr>
            <w:tcW w:w="8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rFonts w:ascii="Times New Roman" w:hAnsi="Times New Roman"/>
                <w:color w:val="00000A"/>
                <w:sz w:val="20"/>
                <w:szCs w:val="20"/>
              </w:rPr>
            </w:pPr>
            <w:r>
              <w:rPr>
                <w:rFonts w:ascii="Times New Roman" w:hAnsi="Times New Roman"/>
                <w:color w:val="00000A"/>
                <w:sz w:val="20"/>
                <w:szCs w:val="20"/>
              </w:rPr>
              <w:t>200</w:t>
            </w:r>
          </w:p>
        </w:tc>
        <w:tc>
          <w:tcPr>
            <w:tcW w:w="335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left"/>
              <w:rPr>
                <w:rFonts w:ascii="Times New Roman" w:hAnsi="Times New Roman"/>
                <w:color w:val="00000A"/>
                <w:sz w:val="20"/>
                <w:szCs w:val="20"/>
              </w:rPr>
            </w:pPr>
            <w:r>
              <w:rPr>
                <w:rFonts w:ascii="Times New Roman" w:hAnsi="Times New Roman"/>
                <w:color w:val="00000A"/>
                <w:sz w:val="20"/>
                <w:szCs w:val="20"/>
              </w:rPr>
              <w:t>Закупка товаров, работ и услуг для муниципальных нужд</w:t>
            </w:r>
          </w:p>
        </w:tc>
        <w:tc>
          <w:tcPr>
            <w:tcW w:w="112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pPr>
            <w:r>
              <w:rPr>
                <w:rFonts w:ascii="Times New Roman" w:hAnsi="Times New Roman"/>
                <w:color w:val="00000A"/>
                <w:sz w:val="20"/>
                <w:szCs w:val="20"/>
              </w:rPr>
              <w:t>5741,40</w:t>
            </w:r>
          </w:p>
        </w:tc>
        <w:tc>
          <w:tcPr>
            <w:tcW w:w="106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pPr>
            <w:r>
              <w:rPr>
                <w:rFonts w:ascii="Times New Roman" w:hAnsi="Times New Roman"/>
                <w:color w:val="00000A"/>
                <w:sz w:val="20"/>
                <w:szCs w:val="20"/>
              </w:rPr>
              <w:t>63,9</w:t>
            </w:r>
          </w:p>
        </w:tc>
        <w:tc>
          <w:tcPr>
            <w:tcW w:w="108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pPr>
            <w:r>
              <w:rPr>
                <w:rFonts w:ascii="Times New Roman" w:hAnsi="Times New Roman"/>
                <w:color w:val="00000A"/>
                <w:sz w:val="20"/>
                <w:szCs w:val="20"/>
              </w:rPr>
              <w:t>1418,28</w:t>
            </w:r>
          </w:p>
        </w:tc>
        <w:tc>
          <w:tcPr>
            <w:tcW w:w="91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rFonts w:ascii="Times New Roman" w:hAnsi="Times New Roman"/>
              </w:rPr>
            </w:pPr>
            <w:r>
              <w:rPr>
                <w:rFonts w:ascii="Times New Roman" w:hAnsi="Times New Roman"/>
              </w:rPr>
              <w:t>70,1</w:t>
            </w:r>
          </w:p>
        </w:tc>
        <w:tc>
          <w:tcPr>
            <w:tcW w:w="9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pPr>
            <w:r>
              <w:rPr>
                <w:rFonts w:ascii="Times New Roman" w:hAnsi="Times New Roman"/>
                <w:color w:val="00000A"/>
                <w:sz w:val="20"/>
                <w:szCs w:val="20"/>
              </w:rPr>
              <w:t>24,7</w:t>
            </w:r>
          </w:p>
        </w:tc>
      </w:tr>
      <w:tr>
        <w:trPr>
          <w:trHeight w:val="375" w:hRule="atLeast"/>
        </w:trPr>
        <w:tc>
          <w:tcPr>
            <w:tcW w:w="8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rFonts w:ascii="Times New Roman" w:hAnsi="Times New Roman"/>
                <w:color w:val="00000A"/>
                <w:sz w:val="20"/>
                <w:szCs w:val="20"/>
              </w:rPr>
            </w:pPr>
            <w:r>
              <w:rPr>
                <w:rFonts w:ascii="Times New Roman" w:hAnsi="Times New Roman"/>
                <w:color w:val="00000A"/>
                <w:sz w:val="20"/>
                <w:szCs w:val="20"/>
              </w:rPr>
              <w:t>500</w:t>
            </w:r>
          </w:p>
        </w:tc>
        <w:tc>
          <w:tcPr>
            <w:tcW w:w="335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left"/>
              <w:rPr>
                <w:rFonts w:ascii="Times New Roman" w:hAnsi="Times New Roman"/>
                <w:color w:val="00000A"/>
                <w:sz w:val="20"/>
                <w:szCs w:val="20"/>
              </w:rPr>
            </w:pPr>
            <w:r>
              <w:rPr>
                <w:rFonts w:ascii="Times New Roman" w:hAnsi="Times New Roman"/>
                <w:color w:val="00000A"/>
                <w:sz w:val="20"/>
                <w:szCs w:val="20"/>
              </w:rPr>
              <w:t>Межбюджетные трансферты</w:t>
            </w:r>
          </w:p>
        </w:tc>
        <w:tc>
          <w:tcPr>
            <w:tcW w:w="112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pPr>
            <w:r>
              <w:rPr>
                <w:rFonts w:ascii="Times New Roman" w:hAnsi="Times New Roman"/>
                <w:color w:val="00000A"/>
                <w:sz w:val="20"/>
                <w:szCs w:val="20"/>
              </w:rPr>
              <w:t>50,37</w:t>
            </w:r>
          </w:p>
        </w:tc>
        <w:tc>
          <w:tcPr>
            <w:tcW w:w="106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pPr>
            <w:r>
              <w:rPr>
                <w:rFonts w:ascii="Times New Roman" w:hAnsi="Times New Roman"/>
                <w:color w:val="00000A"/>
                <w:sz w:val="20"/>
                <w:szCs w:val="20"/>
              </w:rPr>
              <w:t>0,5</w:t>
            </w:r>
          </w:p>
        </w:tc>
        <w:tc>
          <w:tcPr>
            <w:tcW w:w="108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pPr>
            <w:r>
              <w:rPr>
                <w:rFonts w:ascii="Times New Roman" w:hAnsi="Times New Roman"/>
                <w:color w:val="00000A"/>
                <w:sz w:val="20"/>
                <w:szCs w:val="20"/>
              </w:rPr>
              <w:t>12,59</w:t>
            </w:r>
          </w:p>
        </w:tc>
        <w:tc>
          <w:tcPr>
            <w:tcW w:w="91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rFonts w:ascii="Times New Roman" w:hAnsi="Times New Roman"/>
              </w:rPr>
            </w:pPr>
            <w:r>
              <w:rPr>
                <w:rFonts w:ascii="Times New Roman" w:hAnsi="Times New Roman"/>
              </w:rPr>
              <w:t>0,6</w:t>
            </w:r>
          </w:p>
        </w:tc>
        <w:tc>
          <w:tcPr>
            <w:tcW w:w="9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pPr>
            <w:r>
              <w:rPr>
                <w:rFonts w:ascii="Times New Roman" w:hAnsi="Times New Roman"/>
                <w:color w:val="00000A"/>
                <w:sz w:val="20"/>
                <w:szCs w:val="20"/>
              </w:rPr>
              <w:t>25</w:t>
            </w:r>
          </w:p>
        </w:tc>
      </w:tr>
      <w:tr>
        <w:trPr>
          <w:trHeight w:val="371" w:hRule="atLeast"/>
        </w:trPr>
        <w:tc>
          <w:tcPr>
            <w:tcW w:w="8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rFonts w:ascii="Times New Roman" w:hAnsi="Times New Roman"/>
                <w:color w:val="00000A"/>
                <w:sz w:val="20"/>
                <w:szCs w:val="20"/>
              </w:rPr>
            </w:pPr>
            <w:r>
              <w:rPr>
                <w:rFonts w:ascii="Times New Roman" w:hAnsi="Times New Roman"/>
                <w:color w:val="00000A"/>
                <w:sz w:val="20"/>
                <w:szCs w:val="20"/>
              </w:rPr>
              <w:t>800</w:t>
            </w:r>
          </w:p>
        </w:tc>
        <w:tc>
          <w:tcPr>
            <w:tcW w:w="335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left"/>
              <w:rPr>
                <w:rFonts w:ascii="Times New Roman" w:hAnsi="Times New Roman"/>
                <w:color w:val="00000A"/>
                <w:sz w:val="20"/>
                <w:szCs w:val="20"/>
              </w:rPr>
            </w:pPr>
            <w:r>
              <w:rPr>
                <w:rFonts w:ascii="Times New Roman" w:hAnsi="Times New Roman"/>
                <w:color w:val="00000A"/>
                <w:sz w:val="20"/>
                <w:szCs w:val="20"/>
              </w:rPr>
              <w:t>Иные бюджетные ассигнования</w:t>
            </w:r>
          </w:p>
        </w:tc>
        <w:tc>
          <w:tcPr>
            <w:tcW w:w="112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pPr>
            <w:r>
              <w:rPr>
                <w:rFonts w:ascii="Times New Roman" w:hAnsi="Times New Roman"/>
                <w:color w:val="00000A"/>
                <w:sz w:val="20"/>
                <w:szCs w:val="20"/>
              </w:rPr>
              <w:t>80,26</w:t>
            </w:r>
          </w:p>
        </w:tc>
        <w:tc>
          <w:tcPr>
            <w:tcW w:w="106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pPr>
            <w:r>
              <w:rPr>
                <w:rFonts w:ascii="Times New Roman" w:hAnsi="Times New Roman"/>
                <w:color w:val="00000A"/>
                <w:sz w:val="20"/>
                <w:szCs w:val="20"/>
              </w:rPr>
              <w:t>0,9</w:t>
            </w:r>
          </w:p>
        </w:tc>
        <w:tc>
          <w:tcPr>
            <w:tcW w:w="108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pPr>
            <w:r>
              <w:rPr>
                <w:rFonts w:ascii="Times New Roman" w:hAnsi="Times New Roman"/>
                <w:color w:val="00000A"/>
                <w:sz w:val="20"/>
                <w:szCs w:val="20"/>
              </w:rPr>
              <w:t>0</w:t>
            </w:r>
          </w:p>
        </w:tc>
        <w:tc>
          <w:tcPr>
            <w:tcW w:w="91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rFonts w:ascii="Times New Roman" w:hAnsi="Times New Roman"/>
              </w:rPr>
            </w:pPr>
            <w:r>
              <w:rPr>
                <w:rFonts w:ascii="Times New Roman" w:hAnsi="Times New Roman"/>
              </w:rPr>
              <w:t>0</w:t>
            </w:r>
          </w:p>
        </w:tc>
        <w:tc>
          <w:tcPr>
            <w:tcW w:w="9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pPr>
            <w:r>
              <w:rPr>
                <w:rFonts w:ascii="Times New Roman" w:hAnsi="Times New Roman"/>
                <w:color w:val="00000A"/>
                <w:sz w:val="20"/>
                <w:szCs w:val="20"/>
              </w:rPr>
              <w:t>0</w:t>
            </w:r>
          </w:p>
        </w:tc>
      </w:tr>
      <w:tr>
        <w:trPr>
          <w:trHeight w:val="371" w:hRule="atLeast"/>
        </w:trPr>
        <w:tc>
          <w:tcPr>
            <w:tcW w:w="8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color w:val="00000A"/>
                <w:sz w:val="20"/>
                <w:szCs w:val="20"/>
              </w:rPr>
            </w:pPr>
            <w:r>
              <w:rPr>
                <w:color w:val="00000A"/>
                <w:sz w:val="20"/>
                <w:szCs w:val="20"/>
              </w:rPr>
              <w:t> </w:t>
            </w:r>
          </w:p>
        </w:tc>
        <w:tc>
          <w:tcPr>
            <w:tcW w:w="335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left"/>
              <w:rPr>
                <w:rFonts w:ascii="Times New Roman" w:hAnsi="Times New Roman"/>
                <w:b/>
                <w:b/>
                <w:color w:val="00000A"/>
                <w:sz w:val="20"/>
                <w:szCs w:val="20"/>
              </w:rPr>
            </w:pPr>
            <w:r>
              <w:rPr>
                <w:rFonts w:ascii="Times New Roman" w:hAnsi="Times New Roman"/>
                <w:b/>
                <w:color w:val="00000A"/>
                <w:sz w:val="20"/>
                <w:szCs w:val="20"/>
              </w:rPr>
              <w:t>ИТОГО</w:t>
            </w:r>
          </w:p>
        </w:tc>
        <w:tc>
          <w:tcPr>
            <w:tcW w:w="112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pPr>
            <w:r>
              <w:rPr>
                <w:rFonts w:ascii="Times New Roman" w:hAnsi="Times New Roman"/>
                <w:b/>
                <w:color w:val="00000A"/>
                <w:sz w:val="20"/>
                <w:szCs w:val="20"/>
              </w:rPr>
              <w:t>8990,24</w:t>
            </w:r>
          </w:p>
        </w:tc>
        <w:tc>
          <w:tcPr>
            <w:tcW w:w="106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rFonts w:ascii="Times New Roman" w:hAnsi="Times New Roman"/>
                <w:b/>
                <w:b/>
                <w:color w:val="00000A"/>
                <w:sz w:val="20"/>
                <w:szCs w:val="20"/>
              </w:rPr>
            </w:pPr>
            <w:r>
              <w:rPr>
                <w:rFonts w:ascii="Times New Roman" w:hAnsi="Times New Roman"/>
                <w:b/>
                <w:color w:val="00000A"/>
                <w:sz w:val="20"/>
                <w:szCs w:val="20"/>
              </w:rPr>
              <w:t>100,0</w:t>
            </w:r>
          </w:p>
        </w:tc>
        <w:tc>
          <w:tcPr>
            <w:tcW w:w="108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pPr>
            <w:r>
              <w:rPr>
                <w:rFonts w:ascii="Times New Roman" w:hAnsi="Times New Roman"/>
                <w:b/>
                <w:color w:val="00000A"/>
                <w:sz w:val="20"/>
                <w:szCs w:val="20"/>
              </w:rPr>
              <w:t>2024,28</w:t>
            </w:r>
          </w:p>
        </w:tc>
        <w:tc>
          <w:tcPr>
            <w:tcW w:w="91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rFonts w:ascii="Times New Roman" w:hAnsi="Times New Roman"/>
                <w:b/>
                <w:b/>
                <w:bCs/>
              </w:rPr>
            </w:pPr>
            <w:r>
              <w:rPr>
                <w:rFonts w:ascii="Times New Roman" w:hAnsi="Times New Roman"/>
                <w:b/>
                <w:bCs/>
              </w:rPr>
              <w:t>100</w:t>
            </w:r>
          </w:p>
        </w:tc>
        <w:tc>
          <w:tcPr>
            <w:tcW w:w="9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Mar>
              <w:left w:w="-2" w:type="dxa"/>
            </w:tcMar>
            <w:vAlign w:val="center"/>
          </w:tcPr>
          <w:p>
            <w:pPr>
              <w:pStyle w:val="Style28"/>
              <w:spacing w:before="0" w:after="160"/>
              <w:jc w:val="center"/>
              <w:rPr/>
            </w:pPr>
            <w:r>
              <w:rPr>
                <w:rFonts w:ascii="Times New Roman" w:hAnsi="Times New Roman"/>
                <w:b/>
                <w:color w:val="00000A"/>
                <w:sz w:val="20"/>
                <w:szCs w:val="20"/>
              </w:rPr>
              <w:t>22,5</w:t>
            </w:r>
          </w:p>
        </w:tc>
      </w:tr>
    </w:tbl>
    <w:p>
      <w:pPr>
        <w:pStyle w:val="ListParagraph"/>
        <w:widowControl/>
        <w:bidi w:val="0"/>
        <w:spacing w:lineRule="auto" w:line="240" w:before="0" w:after="0"/>
        <w:ind w:left="0" w:right="0" w:hanging="0"/>
        <w:contextualSpacing/>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ListParagraph"/>
        <w:spacing w:lineRule="auto" w:line="276" w:before="0" w:after="0"/>
        <w:ind w:left="0" w:firstLine="737"/>
        <w:contextualSpacing/>
        <w:jc w:val="both"/>
        <w:rPr/>
      </w:pPr>
      <w:r>
        <w:rPr>
          <w:rFonts w:cs="Times New Roman" w:ascii="Times New Roman" w:hAnsi="Times New Roman"/>
          <w:sz w:val="26"/>
          <w:szCs w:val="26"/>
          <w:highlight w:val="white"/>
        </w:rPr>
        <w:t>Анализ данных показывает, что исполнение бюджета в анализируемом периоде в разрезе видов расходов, ниже квартальных значений (25%), за исключением расходов по межбюджетным трансфертам процент исполнения по которым составил 25 процентов. При наличии утвержденных бюджетных ассигнований по и</w:t>
      </w:r>
      <w:r>
        <w:rPr>
          <w:rFonts w:cs="Times New Roman" w:ascii="Times New Roman" w:hAnsi="Times New Roman"/>
          <w:color w:val="00000A"/>
          <w:sz w:val="26"/>
          <w:szCs w:val="26"/>
          <w:highlight w:val="white"/>
        </w:rPr>
        <w:t>ным бюджетным ассигнованиям</w:t>
      </w:r>
      <w:r>
        <w:rPr>
          <w:rFonts w:cs="Times New Roman" w:ascii="Times New Roman" w:hAnsi="Times New Roman"/>
          <w:sz w:val="26"/>
          <w:szCs w:val="26"/>
          <w:highlight w:val="white"/>
        </w:rPr>
        <w:t>, расходование средств в 1 квартале 2018 года не осуществлялось. Наибольшую долю в общих расходах занимает з</w:t>
      </w:r>
      <w:r>
        <w:rPr>
          <w:rFonts w:cs="Times New Roman" w:ascii="Times New Roman" w:hAnsi="Times New Roman"/>
          <w:color w:val="00000A"/>
          <w:sz w:val="26"/>
          <w:szCs w:val="26"/>
          <w:highlight w:val="white"/>
        </w:rPr>
        <w:t>акупка товаров, работ и услуг для муниципальных нужд 70,1 процент.</w:t>
      </w:r>
    </w:p>
    <w:p>
      <w:pPr>
        <w:pStyle w:val="Normal"/>
        <w:spacing w:lineRule="auto" w:line="276" w:before="0" w:after="0"/>
        <w:ind w:firstLine="709"/>
        <w:jc w:val="both"/>
        <w:rPr/>
      </w:pPr>
      <w:r>
        <w:rPr>
          <w:rFonts w:cs="Times New Roman" w:ascii="Times New Roman" w:hAnsi="Times New Roman"/>
          <w:sz w:val="26"/>
          <w:szCs w:val="26"/>
        </w:rPr>
        <w:t>По итогам 1 квартала 2018 года бюджет Кончезерского сельского поселения исполнен с дефицитом в сумме  414,36 тыс. рублей, что составляет 28,1 процент от объема доходов бюджета поселения без учета объема безвозмездных поступлений, при этом дефицит сложился за счет снижения остатков средств на счетах по учету средств местного бюджета в размере 414,36 тыс. рублей, соответственно сложившийся объем дефицита бюджета не противоречит норме п.3 ст. 92.1 Бюджетного кодекса РФ.</w:t>
      </w:r>
    </w:p>
    <w:p>
      <w:pPr>
        <w:pStyle w:val="Normal"/>
        <w:spacing w:lineRule="auto" w:line="276" w:before="0" w:after="0"/>
        <w:ind w:firstLine="709"/>
        <w:jc w:val="both"/>
        <w:rPr/>
      </w:pPr>
      <w:r>
        <w:rPr>
          <w:rFonts w:cs="Times New Roman" w:ascii="Times New Roman" w:hAnsi="Times New Roman"/>
          <w:sz w:val="26"/>
          <w:szCs w:val="26"/>
          <w:highlight w:val="white"/>
        </w:rPr>
        <w:t>Муниципальный долг Кончезерского сельского поселения на 01.04.2018 года отсутствует.</w:t>
      </w:r>
    </w:p>
    <w:p>
      <w:pPr>
        <w:pStyle w:val="Normal"/>
        <w:spacing w:lineRule="auto" w:line="240" w:before="0" w:after="0"/>
        <w:ind w:firstLine="709"/>
        <w:jc w:val="center"/>
        <w:rPr>
          <w:rFonts w:ascii="Times New Roman" w:hAnsi="Times New Roman" w:cs="Times New Roman"/>
          <w:b/>
          <w:b/>
          <w:bCs/>
          <w:sz w:val="26"/>
          <w:szCs w:val="26"/>
          <w:lang w:eastAsia="ru-RU"/>
        </w:rPr>
      </w:pPr>
      <w:r>
        <w:rPr>
          <w:rFonts w:cs="Times New Roman" w:ascii="Times New Roman" w:hAnsi="Times New Roman"/>
          <w:b/>
          <w:bCs/>
          <w:sz w:val="26"/>
          <w:szCs w:val="26"/>
          <w:lang w:eastAsia="ru-RU"/>
        </w:rPr>
      </w:r>
    </w:p>
    <w:p>
      <w:pPr>
        <w:pStyle w:val="Normal"/>
        <w:spacing w:lineRule="auto" w:line="240" w:before="0" w:after="0"/>
        <w:ind w:firstLine="709"/>
        <w:jc w:val="center"/>
        <w:rPr>
          <w:rFonts w:ascii="Times New Roman" w:hAnsi="Times New Roman" w:cs="Times New Roman"/>
          <w:b/>
          <w:b/>
          <w:bCs/>
          <w:sz w:val="26"/>
          <w:szCs w:val="26"/>
          <w:lang w:eastAsia="ru-RU"/>
        </w:rPr>
      </w:pPr>
      <w:r>
        <w:rPr>
          <w:rFonts w:cs="Times New Roman" w:ascii="Times New Roman" w:hAnsi="Times New Roman"/>
          <w:b/>
          <w:bCs/>
          <w:sz w:val="26"/>
          <w:szCs w:val="26"/>
          <w:lang w:eastAsia="ru-RU"/>
        </w:rPr>
      </w:r>
    </w:p>
    <w:p>
      <w:pPr>
        <w:pStyle w:val="Normal"/>
        <w:spacing w:lineRule="auto" w:line="240" w:before="0" w:after="0"/>
        <w:ind w:firstLine="709"/>
        <w:jc w:val="center"/>
        <w:rPr>
          <w:sz w:val="26"/>
          <w:szCs w:val="26"/>
        </w:rPr>
      </w:pPr>
      <w:r>
        <w:rPr>
          <w:rFonts w:cs="Times New Roman" w:ascii="Times New Roman" w:hAnsi="Times New Roman"/>
          <w:b/>
          <w:bCs/>
          <w:sz w:val="26"/>
          <w:szCs w:val="26"/>
          <w:lang w:eastAsia="ru-RU"/>
        </w:rPr>
        <w:t>3. Анализ бухгалтерской отчетности.</w:t>
      </w:r>
    </w:p>
    <w:p>
      <w:pPr>
        <w:pStyle w:val="Normal"/>
        <w:spacing w:lineRule="auto" w:line="240" w:before="0" w:after="0"/>
        <w:ind w:firstLine="709"/>
        <w:jc w:val="center"/>
        <w:rPr>
          <w:rFonts w:ascii="Times New Roman" w:hAnsi="Times New Roman" w:cs="Times New Roman"/>
          <w:b/>
          <w:b/>
          <w:bCs/>
          <w:lang w:eastAsia="ru-RU"/>
        </w:rPr>
      </w:pPr>
      <w:r>
        <w:rPr>
          <w:rFonts w:cs="Times New Roman" w:ascii="Times New Roman" w:hAnsi="Times New Roman"/>
          <w:b/>
          <w:bCs/>
          <w:lang w:eastAsia="ru-RU"/>
        </w:rPr>
      </w:r>
    </w:p>
    <w:p>
      <w:pPr>
        <w:pStyle w:val="Normal"/>
        <w:spacing w:lineRule="auto" w:line="276" w:before="0" w:after="0"/>
        <w:ind w:firstLine="709"/>
        <w:jc w:val="both"/>
        <w:rPr/>
      </w:pPr>
      <w:r>
        <w:rPr>
          <w:rFonts w:cs="Times New Roman" w:ascii="Times New Roman" w:hAnsi="Times New Roman"/>
          <w:sz w:val="26"/>
          <w:szCs w:val="26"/>
          <w:lang w:eastAsia="ru-RU"/>
        </w:rPr>
        <w:t xml:space="preserve">Отчет об исполнении бюджета </w:t>
      </w:r>
      <w:r>
        <w:rPr>
          <w:rFonts w:cs="Times New Roman" w:ascii="Times New Roman" w:hAnsi="Times New Roman"/>
          <w:sz w:val="26"/>
          <w:szCs w:val="26"/>
          <w:highlight w:val="white"/>
          <w:lang w:eastAsia="ru-RU"/>
        </w:rPr>
        <w:t xml:space="preserve">Кончезерского сельского поселения </w:t>
      </w:r>
      <w:r>
        <w:rPr>
          <w:rFonts w:cs="Times New Roman" w:ascii="Times New Roman" w:hAnsi="Times New Roman"/>
          <w:sz w:val="26"/>
          <w:szCs w:val="26"/>
          <w:lang w:eastAsia="ru-RU"/>
        </w:rPr>
        <w:t xml:space="preserve">за 1 квартал 2018 года сформирован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w:t>
      </w:r>
    </w:p>
    <w:p>
      <w:pPr>
        <w:pStyle w:val="Normal"/>
        <w:spacing w:lineRule="auto" w:line="276" w:before="0" w:after="0"/>
        <w:ind w:firstLine="709"/>
        <w:jc w:val="both"/>
        <w:rPr>
          <w:color w:val="000000"/>
          <w:sz w:val="26"/>
          <w:szCs w:val="26"/>
          <w:highlight w:val="yellow"/>
        </w:rPr>
      </w:pPr>
      <w:r>
        <w:rPr>
          <w:rFonts w:cs="Times New Roman" w:ascii="Times New Roman" w:hAnsi="Times New Roman"/>
          <w:color w:val="000000"/>
          <w:sz w:val="26"/>
          <w:szCs w:val="26"/>
          <w:lang w:eastAsia="ru-RU"/>
        </w:rPr>
        <w:t xml:space="preserve">Согласно Сведениям по дебиторской и кредиторской задолженности (ф.0503169) дебиторская задолженность на 01.04.2018 года по сравнению с данными на 01.01.2018 года,  уменьшилась на 577,75 тыс. рублей и составила 1491,10 тыс. рублей, просроченная дебиторская задолженность также уменьшилась на 648,28 тыс. рублей и составила 1384,47. В сравнении с аналогичным периодом прошлого года дебиторская задолженность снизилась на 15 %. </w:t>
      </w:r>
    </w:p>
    <w:p>
      <w:pPr>
        <w:pStyle w:val="Normal"/>
        <w:spacing w:lineRule="auto" w:line="276" w:before="0" w:after="0"/>
        <w:ind w:firstLine="709"/>
        <w:jc w:val="both"/>
        <w:rPr>
          <w:color w:val="000000"/>
          <w:sz w:val="26"/>
          <w:szCs w:val="26"/>
          <w:highlight w:val="yellow"/>
        </w:rPr>
      </w:pPr>
      <w:r>
        <w:rPr>
          <w:rFonts w:cs="Times New Roman" w:ascii="Times New Roman" w:hAnsi="Times New Roman"/>
          <w:color w:val="000000"/>
          <w:sz w:val="26"/>
          <w:szCs w:val="26"/>
          <w:lang w:eastAsia="ru-RU"/>
        </w:rPr>
        <w:t>Кредиторская задолженность на 01.04.2018 года составила 505,96 тыс. рублей, на 01.01.2018 года задолженность составляла 1033,77 кредиторская задолженность уменьшилась на 527,81 тыс. рублей.</w:t>
      </w:r>
      <w:r>
        <w:rPr>
          <w:rFonts w:cs="Times New Roman" w:ascii="Times New Roman" w:hAnsi="Times New Roman"/>
          <w:color w:val="000000"/>
          <w:sz w:val="26"/>
          <w:szCs w:val="26"/>
          <w:shd w:fill="auto" w:val="clear"/>
          <w:lang w:eastAsia="ru-RU"/>
        </w:rPr>
        <w:t xml:space="preserve"> В сравнении с аналогичным периодом прошлого года кредиторская задолженность снизилась на 63 %.</w:t>
      </w:r>
    </w:p>
    <w:p>
      <w:pPr>
        <w:pStyle w:val="ListParagraph"/>
        <w:widowControl/>
        <w:suppressAutoHyphens w:val="true"/>
        <w:bidi w:val="0"/>
        <w:spacing w:lineRule="auto" w:line="276" w:before="0" w:after="0"/>
        <w:ind w:left="0" w:right="0" w:hanging="397"/>
        <w:contextualSpacing/>
        <w:jc w:val="both"/>
        <w:rPr/>
      </w:pPr>
      <w:r>
        <w:rPr>
          <w:rFonts w:cs="Times New Roman" w:ascii="Times New Roman" w:hAnsi="Times New Roman"/>
          <w:b w:val="false"/>
          <w:bCs/>
          <w:i w:val="false"/>
          <w:strike w:val="false"/>
          <w:dstrike w:val="false"/>
          <w:color w:val="000000"/>
          <w:sz w:val="26"/>
          <w:szCs w:val="26"/>
          <w:u w:val="none"/>
          <w:lang w:eastAsia="ru-RU"/>
        </w:rPr>
        <w:tab/>
        <w:tab/>
        <w:tab/>
      </w:r>
      <w:r>
        <w:rPr>
          <w:rFonts w:cs="Times New Roman" w:ascii="Times New Roman" w:hAnsi="Times New Roman"/>
          <w:sz w:val="26"/>
          <w:szCs w:val="26"/>
          <w:highlight w:val="white"/>
          <w:lang w:eastAsia="ru-RU"/>
        </w:rPr>
        <w:t>В ходе анализа проверено соблюдение общих требований по составлению и формированию бюджетной отчетности, установленных вышеуказанной инструкцией. Нарушений не установлено.</w:t>
      </w:r>
    </w:p>
    <w:p>
      <w:pPr>
        <w:pStyle w:val="Normal"/>
        <w:spacing w:lineRule="auto" w:line="276" w:before="0" w:after="0"/>
        <w:ind w:firstLine="709"/>
        <w:jc w:val="both"/>
        <w:rPr/>
      </w:pPr>
      <w:r>
        <w:rPr>
          <w:rFonts w:cs="Times New Roman" w:ascii="Times New Roman" w:hAnsi="Times New Roman"/>
          <w:sz w:val="26"/>
          <w:szCs w:val="26"/>
          <w:highlight w:val="white"/>
        </w:rPr>
        <w:t>При сверке показателей о</w:t>
      </w:r>
      <w:r>
        <w:rPr>
          <w:rFonts w:cs="Times New Roman" w:ascii="Times New Roman" w:hAnsi="Times New Roman"/>
          <w:sz w:val="26"/>
          <w:szCs w:val="26"/>
          <w:highlight w:val="white"/>
          <w:lang w:eastAsia="ru-RU"/>
        </w:rPr>
        <w:t xml:space="preserve">тчета за 1 квартал 2018 года (форма 0503117) с </w:t>
      </w:r>
      <w:r>
        <w:rPr>
          <w:rFonts w:cs="Times New Roman" w:ascii="Times New Roman" w:hAnsi="Times New Roman"/>
          <w:sz w:val="26"/>
          <w:szCs w:val="26"/>
          <w:highlight w:val="white"/>
        </w:rPr>
        <w:t>показателями отчета по поступлениям и выбытию (форма 0503151), представленным Управлением Федерального казначейства по Республике Карелия, по состоянию на 01.04.2018 года, расхождений не установлено.</w:t>
      </w:r>
    </w:p>
    <w:p>
      <w:pPr>
        <w:pStyle w:val="Normal"/>
        <w:spacing w:lineRule="auto" w:line="276" w:before="0" w:after="0"/>
        <w:ind w:firstLine="708"/>
        <w:jc w:val="both"/>
        <w:rPr/>
      </w:pPr>
      <w:r>
        <w:rPr>
          <w:rFonts w:cs="Times New Roman" w:ascii="Times New Roman" w:hAnsi="Times New Roman"/>
          <w:sz w:val="26"/>
          <w:szCs w:val="26"/>
          <w:highlight w:val="white"/>
          <w:shd w:fill="FFFFFF" w:val="clear"/>
        </w:rPr>
        <w:t>Замечаний и недостатков, допущенных при формировании бюджетной отчетности, повлиявших на ее достоверность  не установлено.</w:t>
      </w:r>
    </w:p>
    <w:p>
      <w:pPr>
        <w:pStyle w:val="Standard"/>
        <w:spacing w:lineRule="auto" w:line="276"/>
        <w:ind w:firstLine="709"/>
        <w:jc w:val="both"/>
        <w:rPr>
          <w:rFonts w:ascii="Times New Roman" w:hAnsi="Times New Roman"/>
          <w:b/>
          <w:b/>
          <w:sz w:val="26"/>
          <w:szCs w:val="26"/>
        </w:rPr>
      </w:pPr>
      <w:r>
        <w:rPr>
          <w:b/>
          <w:sz w:val="26"/>
          <w:szCs w:val="26"/>
        </w:rPr>
      </w:r>
    </w:p>
    <w:p>
      <w:pPr>
        <w:pStyle w:val="Normal"/>
        <w:spacing w:lineRule="auto" w:line="276"/>
        <w:jc w:val="center"/>
        <w:rPr>
          <w:rFonts w:ascii="Times New Roman" w:hAnsi="Times New Roman"/>
          <w:b/>
          <w:b/>
          <w:sz w:val="26"/>
          <w:szCs w:val="26"/>
        </w:rPr>
      </w:pPr>
      <w:r>
        <w:rPr>
          <w:rFonts w:ascii="Times New Roman" w:hAnsi="Times New Roman"/>
          <w:b/>
          <w:sz w:val="26"/>
          <w:szCs w:val="26"/>
        </w:rPr>
      </w:r>
    </w:p>
    <w:p>
      <w:pPr>
        <w:pStyle w:val="Normal"/>
        <w:spacing w:lineRule="auto" w:line="276"/>
        <w:jc w:val="center"/>
        <w:rPr>
          <w:rFonts w:ascii="Times New Roman" w:hAnsi="Times New Roman"/>
          <w:b/>
          <w:b/>
          <w:sz w:val="26"/>
          <w:szCs w:val="26"/>
        </w:rPr>
      </w:pPr>
      <w:r>
        <w:rPr>
          <w:rFonts w:ascii="Times New Roman" w:hAnsi="Times New Roman"/>
          <w:b/>
          <w:sz w:val="26"/>
          <w:szCs w:val="26"/>
        </w:rPr>
      </w:r>
    </w:p>
    <w:p>
      <w:pPr>
        <w:pStyle w:val="Normal"/>
        <w:spacing w:lineRule="auto" w:line="276"/>
        <w:jc w:val="center"/>
        <w:rPr/>
      </w:pPr>
      <w:r>
        <w:rPr>
          <w:rFonts w:ascii="Times New Roman" w:hAnsi="Times New Roman"/>
          <w:b/>
          <w:sz w:val="26"/>
          <w:szCs w:val="26"/>
        </w:rPr>
        <w:t>Выводы:</w:t>
      </w:r>
    </w:p>
    <w:p>
      <w:pPr>
        <w:pStyle w:val="Normal"/>
        <w:spacing w:lineRule="auto" w:line="276"/>
        <w:jc w:val="both"/>
        <w:rPr/>
      </w:pPr>
      <w:r>
        <w:rPr>
          <w:rFonts w:ascii="Times New Roman" w:hAnsi="Times New Roman"/>
          <w:sz w:val="26"/>
          <w:szCs w:val="26"/>
        </w:rPr>
        <w:t xml:space="preserve">По результатам проверки отчёта об исполнении бюджета Кончезерского сельского поселения за 1 квартал 2018 года Контрольно-счётный орган </w:t>
      </w:r>
      <w:r>
        <w:rPr>
          <w:rFonts w:cs="Times New Roman" w:ascii="Times New Roman" w:hAnsi="Times New Roman"/>
          <w:sz w:val="26"/>
          <w:szCs w:val="26"/>
          <w:highlight w:val="white"/>
        </w:rPr>
        <w:t>Кондопожского муниципального района</w:t>
      </w:r>
      <w:r>
        <w:rPr>
          <w:rFonts w:ascii="Times New Roman" w:hAnsi="Times New Roman"/>
          <w:sz w:val="26"/>
          <w:szCs w:val="26"/>
        </w:rPr>
        <w:t xml:space="preserve"> считает, что отчёт об исполнении бюджета Кончезерского сельского поселения в представленном виде является  достоверным</w:t>
      </w:r>
      <w:r>
        <w:rPr>
          <w:rStyle w:val="Style17"/>
          <w:rFonts w:ascii="Times New Roman" w:hAnsi="Times New Roman"/>
          <w:sz w:val="26"/>
          <w:szCs w:val="26"/>
        </w:rPr>
        <w:t>.</w:t>
      </w:r>
    </w:p>
    <w:p>
      <w:pPr>
        <w:pStyle w:val="Normal"/>
        <w:numPr>
          <w:ilvl w:val="0"/>
          <w:numId w:val="1"/>
        </w:numPr>
        <w:tabs>
          <w:tab w:val="left" w:pos="1140" w:leader="none"/>
        </w:tabs>
        <w:spacing w:lineRule="auto" w:line="276" w:before="0" w:after="0"/>
        <w:jc w:val="both"/>
        <w:rPr/>
      </w:pPr>
      <w:r>
        <w:rPr>
          <w:rStyle w:val="Style17"/>
          <w:rFonts w:ascii="Times New Roman" w:hAnsi="Times New Roman"/>
          <w:sz w:val="26"/>
          <w:szCs w:val="26"/>
        </w:rPr>
        <w:t>Представленный отчет соответствует нормам действующего законодательства.</w:t>
      </w:r>
    </w:p>
    <w:p>
      <w:pPr>
        <w:pStyle w:val="Normal"/>
        <w:widowControl w:val="false"/>
        <w:numPr>
          <w:ilvl w:val="0"/>
          <w:numId w:val="0"/>
        </w:numPr>
        <w:tabs>
          <w:tab w:val="left" w:pos="1140" w:leader="none"/>
        </w:tabs>
        <w:spacing w:lineRule="auto" w:line="276" w:before="0" w:after="0"/>
        <w:ind w:left="720" w:hanging="0"/>
        <w:jc w:val="both"/>
        <w:rPr>
          <w:rStyle w:val="Style17"/>
          <w:rFonts w:ascii="Times New Roman" w:hAnsi="Times New Roman" w:cs="Times New Roman"/>
          <w:sz w:val="26"/>
          <w:szCs w:val="26"/>
          <w:highlight w:val="yellow"/>
          <w:lang w:eastAsia="ru-RU"/>
        </w:rPr>
      </w:pPr>
      <w:r>
        <w:rPr>
          <w:rFonts w:cs="Times New Roman" w:ascii="Times New Roman" w:hAnsi="Times New Roman"/>
          <w:sz w:val="26"/>
          <w:szCs w:val="26"/>
          <w:highlight w:val="yellow"/>
          <w:lang w:eastAsia="ru-RU"/>
        </w:rPr>
      </w:r>
    </w:p>
    <w:p>
      <w:pPr>
        <w:pStyle w:val="Normal"/>
        <w:tabs>
          <w:tab w:val="left" w:pos="630" w:leader="none"/>
        </w:tabs>
        <w:spacing w:lineRule="auto" w:line="276" w:before="0" w:after="4"/>
        <w:ind w:firstLine="57"/>
        <w:jc w:val="both"/>
        <w:rPr>
          <w:rStyle w:val="Style17"/>
          <w:rFonts w:ascii="Times New Roman" w:hAnsi="Times New Roman" w:cs="Times New Roman"/>
          <w:sz w:val="26"/>
          <w:szCs w:val="26"/>
          <w:highlight w:val="white"/>
        </w:rPr>
      </w:pPr>
      <w:r>
        <w:rPr>
          <w:rFonts w:cs="Times New Roman" w:ascii="Times New Roman" w:hAnsi="Times New Roman"/>
          <w:sz w:val="26"/>
          <w:szCs w:val="26"/>
          <w:highlight w:val="white"/>
        </w:rPr>
      </w:r>
    </w:p>
    <w:p>
      <w:pPr>
        <w:pStyle w:val="Normal"/>
        <w:spacing w:lineRule="auto" w:line="276"/>
        <w:ind w:firstLine="567"/>
        <w:jc w:val="both"/>
        <w:rPr>
          <w:sz w:val="26"/>
          <w:szCs w:val="26"/>
        </w:rPr>
      </w:pPr>
      <w:r>
        <w:rPr>
          <w:rFonts w:cs="Times New Roman" w:ascii="Times New Roman" w:hAnsi="Times New Roman"/>
          <w:b/>
          <w:bCs/>
          <w:sz w:val="26"/>
          <w:szCs w:val="26"/>
        </w:rPr>
        <w:t xml:space="preserve">Предлагаемые представления и /или предписания: </w:t>
      </w:r>
      <w:r>
        <w:rPr>
          <w:rFonts w:cs="Times New Roman" w:ascii="Times New Roman" w:hAnsi="Times New Roman"/>
          <w:bCs/>
          <w:sz w:val="26"/>
          <w:szCs w:val="26"/>
        </w:rPr>
        <w:t>нет</w:t>
      </w:r>
      <w:r>
        <w:rPr>
          <w:rFonts w:cs="Times New Roman" w:ascii="Times New Roman" w:hAnsi="Times New Roman"/>
          <w:sz w:val="26"/>
          <w:szCs w:val="26"/>
        </w:rPr>
        <w:t>.</w:t>
      </w:r>
    </w:p>
    <w:p>
      <w:pPr>
        <w:pStyle w:val="ListParagraph"/>
        <w:spacing w:lineRule="auto" w:line="276" w:before="0" w:after="46"/>
        <w:ind w:left="0" w:firstLine="567"/>
        <w:contextualSpacing/>
        <w:jc w:val="both"/>
        <w:rPr/>
      </w:pPr>
      <w:r>
        <w:rPr>
          <w:rFonts w:ascii="Times New Roman" w:hAnsi="Times New Roman"/>
          <w:sz w:val="26"/>
          <w:szCs w:val="26"/>
        </w:rPr>
        <w:t xml:space="preserve">Направить Анализ отчета об исполнении бюджета </w:t>
      </w:r>
      <w:r>
        <w:rPr>
          <w:rFonts w:cs="Times New Roman" w:ascii="Times New Roman" w:hAnsi="Times New Roman"/>
          <w:iCs/>
          <w:sz w:val="26"/>
          <w:szCs w:val="26"/>
          <w:highlight w:val="white"/>
          <w:shd w:fill="FFFFFF" w:val="clear"/>
          <w:lang w:eastAsia="ru-RU"/>
        </w:rPr>
        <w:t>Кончезерского сельского поселения</w:t>
      </w:r>
      <w:r>
        <w:rPr>
          <w:rFonts w:ascii="Times New Roman" w:hAnsi="Times New Roman"/>
          <w:sz w:val="26"/>
          <w:szCs w:val="26"/>
        </w:rPr>
        <w:t xml:space="preserve"> за 1 квартал 2018года в адрес:</w:t>
      </w:r>
    </w:p>
    <w:p>
      <w:pPr>
        <w:pStyle w:val="Normal"/>
        <w:spacing w:lineRule="auto" w:line="276" w:before="0" w:after="46"/>
        <w:ind w:firstLine="680"/>
        <w:jc w:val="both"/>
        <w:rPr>
          <w:rFonts w:ascii="Times New Roman" w:hAnsi="Times New Roman" w:cs="Times New Roman"/>
          <w:sz w:val="26"/>
          <w:szCs w:val="26"/>
          <w:highlight w:val="white"/>
          <w:lang w:eastAsia="ru-RU"/>
        </w:rPr>
      </w:pPr>
      <w:r>
        <w:rPr>
          <w:rFonts w:cs="Times New Roman" w:ascii="Times New Roman" w:hAnsi="Times New Roman"/>
          <w:sz w:val="26"/>
          <w:szCs w:val="26"/>
          <w:highlight w:val="white"/>
          <w:lang w:eastAsia="ru-RU"/>
        </w:rPr>
      </w:r>
    </w:p>
    <w:p>
      <w:pPr>
        <w:pStyle w:val="Normal"/>
        <w:spacing w:lineRule="auto" w:line="276" w:before="0" w:after="46"/>
        <w:ind w:firstLine="680"/>
        <w:jc w:val="both"/>
        <w:rPr/>
      </w:pPr>
      <w:r>
        <w:rPr>
          <w:rFonts w:ascii="Times New Roman" w:hAnsi="Times New Roman"/>
          <w:sz w:val="26"/>
          <w:szCs w:val="26"/>
        </w:rPr>
        <w:t xml:space="preserve">Главы </w:t>
      </w:r>
      <w:r>
        <w:rPr>
          <w:rFonts w:cs="Times New Roman" w:ascii="Times New Roman" w:hAnsi="Times New Roman"/>
          <w:iCs/>
          <w:sz w:val="26"/>
          <w:szCs w:val="26"/>
          <w:highlight w:val="white"/>
          <w:shd w:fill="FFFFFF" w:val="clear"/>
          <w:lang w:eastAsia="ru-RU"/>
        </w:rPr>
        <w:t>Кончезерского сельского поселения</w:t>
      </w:r>
      <w:r>
        <w:rPr>
          <w:rFonts w:cs="Times New Roman" w:ascii="Times New Roman" w:hAnsi="Times New Roman"/>
          <w:sz w:val="26"/>
          <w:szCs w:val="26"/>
          <w:highlight w:val="white"/>
          <w:shd w:fill="FFFFFF" w:val="clear"/>
          <w:lang w:eastAsia="ru-RU"/>
        </w:rPr>
        <w:t>.</w:t>
      </w:r>
    </w:p>
    <w:p>
      <w:pPr>
        <w:pStyle w:val="Normal"/>
        <w:spacing w:lineRule="auto" w:line="276"/>
        <w:ind w:firstLine="680"/>
        <w:jc w:val="both"/>
        <w:rPr>
          <w:rFonts w:ascii="Times New Roman" w:hAnsi="Times New Roman"/>
          <w:sz w:val="26"/>
          <w:szCs w:val="26"/>
        </w:rPr>
      </w:pPr>
      <w:r>
        <w:rPr>
          <w:rFonts w:ascii="Times New Roman" w:hAnsi="Times New Roman"/>
          <w:sz w:val="26"/>
          <w:szCs w:val="26"/>
        </w:rPr>
      </w:r>
    </w:p>
    <w:p>
      <w:pPr>
        <w:pStyle w:val="Normal"/>
        <w:spacing w:lineRule="auto" w:line="276" w:before="0" w:after="4"/>
        <w:ind w:right="14" w:hanging="0"/>
        <w:jc w:val="both"/>
        <w:rPr>
          <w:rFonts w:ascii="Times New Roman" w:hAnsi="Times New Roman" w:cs="Times New Roman"/>
          <w:highlight w:val="white"/>
        </w:rPr>
      </w:pPr>
      <w:r>
        <w:rPr>
          <w:rFonts w:cs="Times New Roman" w:ascii="Times New Roman" w:hAnsi="Times New Roman"/>
          <w:highlight w:val="white"/>
        </w:rPr>
      </w:r>
    </w:p>
    <w:p>
      <w:pPr>
        <w:pStyle w:val="Normal"/>
        <w:spacing w:lineRule="auto" w:line="276" w:before="0" w:after="4"/>
        <w:ind w:right="14" w:hanging="0"/>
        <w:jc w:val="both"/>
        <w:rPr/>
      </w:pPr>
      <w:r>
        <w:rPr>
          <w:rFonts w:cs="Times New Roman" w:ascii="Times New Roman" w:hAnsi="Times New Roman"/>
          <w:sz w:val="26"/>
          <w:szCs w:val="26"/>
          <w:highlight w:val="white"/>
        </w:rPr>
        <w:t>И.о. Председателя Контрольно-счетного органа</w:t>
      </w:r>
    </w:p>
    <w:p>
      <w:pPr>
        <w:pStyle w:val="Normal"/>
        <w:spacing w:lineRule="auto" w:line="276" w:before="0" w:after="4"/>
        <w:ind w:right="14" w:hanging="0"/>
        <w:jc w:val="both"/>
        <w:rPr/>
      </w:pPr>
      <w:r>
        <w:rPr>
          <w:rFonts w:cs="Times New Roman" w:ascii="Times New Roman" w:hAnsi="Times New Roman"/>
          <w:sz w:val="26"/>
          <w:szCs w:val="26"/>
          <w:highlight w:val="white"/>
        </w:rPr>
        <w:t>Кондопожского муниципального района</w:t>
      </w:r>
      <w:bookmarkStart w:id="3" w:name="__DdeLink__505_4059367422"/>
      <w:r>
        <w:rPr>
          <w:rFonts w:cs="Times New Roman" w:ascii="Times New Roman" w:hAnsi="Times New Roman"/>
          <w:sz w:val="26"/>
          <w:szCs w:val="26"/>
          <w:highlight w:val="white"/>
        </w:rPr>
        <w:t xml:space="preserve"> </w:t>
      </w:r>
      <w:bookmarkEnd w:id="3"/>
      <w:r>
        <w:rPr>
          <w:rFonts w:cs="Times New Roman" w:ascii="Times New Roman" w:hAnsi="Times New Roman"/>
          <w:sz w:val="26"/>
          <w:szCs w:val="26"/>
          <w:highlight w:val="white"/>
        </w:rPr>
        <w:t xml:space="preserve">                                        О.Г. Морочковская                   </w:t>
      </w:r>
    </w:p>
    <w:p>
      <w:pPr>
        <w:pStyle w:val="Normal"/>
        <w:spacing w:lineRule="auto" w:line="276" w:before="0" w:after="4"/>
        <w:ind w:right="14" w:hanging="0"/>
        <w:jc w:val="both"/>
        <w:rPr>
          <w:rFonts w:ascii="Times New Roman" w:hAnsi="Times New Roman" w:cs="Times New Roman"/>
          <w:sz w:val="26"/>
          <w:szCs w:val="26"/>
          <w:highlight w:val="white"/>
        </w:rPr>
      </w:pPr>
      <w:r>
        <w:rPr>
          <w:rFonts w:cs="Times New Roman" w:ascii="Times New Roman" w:hAnsi="Times New Roman"/>
          <w:sz w:val="26"/>
          <w:szCs w:val="26"/>
          <w:highlight w:val="white"/>
        </w:rPr>
      </w:r>
    </w:p>
    <w:p>
      <w:pPr>
        <w:pStyle w:val="Normal"/>
        <w:spacing w:lineRule="auto" w:line="276" w:before="0" w:after="4"/>
        <w:ind w:right="14" w:hanging="0"/>
        <w:jc w:val="both"/>
        <w:rPr/>
      </w:pPr>
      <w:r>
        <w:rPr>
          <w:rFonts w:cs="Times New Roman" w:ascii="Times New Roman" w:hAnsi="Times New Roman"/>
          <w:sz w:val="26"/>
          <w:szCs w:val="26"/>
          <w:highlight w:val="white"/>
        </w:rPr>
        <w:t>Инспектор Контрольно-счетного органа</w:t>
      </w:r>
    </w:p>
    <w:p>
      <w:pPr>
        <w:pStyle w:val="Normal"/>
        <w:spacing w:lineRule="auto" w:line="276" w:before="0" w:after="4"/>
        <w:ind w:right="14" w:hanging="0"/>
        <w:jc w:val="both"/>
        <w:rPr/>
      </w:pPr>
      <w:r>
        <w:rPr>
          <w:rFonts w:cs="Times New Roman" w:ascii="Times New Roman" w:hAnsi="Times New Roman"/>
          <w:sz w:val="26"/>
          <w:szCs w:val="26"/>
          <w:highlight w:val="white"/>
        </w:rPr>
        <w:t>Кондопожского муниципального района                                          И.В. Демидова</w:t>
      </w:r>
    </w:p>
    <w:sectPr>
      <w:headerReference w:type="default" r:id="rId4"/>
      <w:footerReference w:type="default" r:id="rId5"/>
      <w:type w:val="nextPage"/>
      <w:pgSz w:w="11906" w:h="16838"/>
      <w:pgMar w:left="1701" w:right="851" w:header="1134" w:top="1460"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fldChar w:fldCharType="begin"/>
    </w:r>
    <w:r>
      <w:instrText> PAGE </w:instrText>
    </w:r>
    <w:r>
      <w:fldChar w:fldCharType="separate"/>
    </w:r>
    <w:r>
      <w:t>3</w:t>
    </w:r>
    <w:r>
      <w:fldChar w:fldCharType="end"/>
    </w:r>
  </w:p>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Tahoma"/>
      <w:color w:val="00000A"/>
      <w:kern w:val="0"/>
      <w:sz w:val="22"/>
      <w:szCs w:val="22"/>
      <w:lang w:val="ru-RU" w:eastAsia="en-US" w:bidi="ar-SA"/>
    </w:rPr>
  </w:style>
  <w:style w:type="character" w:styleId="DefaultParagraphFont" w:default="1">
    <w:name w:val="Default Paragraph Font"/>
    <w:uiPriority w:val="99"/>
    <w:semiHidden/>
    <w:qFormat/>
    <w:rPr/>
  </w:style>
  <w:style w:type="character" w:styleId="Style14" w:customStyle="1">
    <w:name w:val="Текст выноски Знак"/>
    <w:basedOn w:val="DefaultParagraphFont"/>
    <w:uiPriority w:val="99"/>
    <w:qFormat/>
    <w:rPr>
      <w:rFonts w:ascii="Segoe UI" w:hAnsi="Segoe UI" w:cs="Segoe UI"/>
      <w:sz w:val="18"/>
      <w:szCs w:val="18"/>
    </w:rPr>
  </w:style>
  <w:style w:type="character" w:styleId="Appleconvertedspace" w:customStyle="1">
    <w:name w:val="apple-converted-space"/>
    <w:basedOn w:val="DefaultParagraphFont"/>
    <w:uiPriority w:val="99"/>
    <w:qFormat/>
    <w:rPr>
      <w:rFonts w:cs="Times New Roman"/>
    </w:rPr>
  </w:style>
  <w:style w:type="character" w:styleId="Style15" w:customStyle="1">
    <w:name w:val="Верхний колонтитул Знак"/>
    <w:basedOn w:val="DefaultParagraphFont"/>
    <w:uiPriority w:val="99"/>
    <w:qFormat/>
    <w:rPr>
      <w:rFonts w:cs="Times New Roman"/>
    </w:rPr>
  </w:style>
  <w:style w:type="character" w:styleId="Style16" w:customStyle="1">
    <w:name w:val="Нижний колонтитул Знак"/>
    <w:basedOn w:val="DefaultParagraphFont"/>
    <w:uiPriority w:val="99"/>
    <w:qFormat/>
    <w:rPr>
      <w:rFonts w:cs="Times New Roman"/>
    </w:rPr>
  </w:style>
  <w:style w:type="character" w:styleId="Style17" w:customStyle="1">
    <w:name w:val="Основной текст Знак"/>
    <w:uiPriority w:val="99"/>
    <w:qFormat/>
    <w:rPr>
      <w:sz w:val="23"/>
      <w:shd w:fill="FFFFFF" w:val="clear"/>
    </w:rPr>
  </w:style>
  <w:style w:type="character" w:styleId="ListLabel14" w:customStyle="1">
    <w:name w:val="ListLabel 14"/>
    <w:uiPriority w:val="99"/>
    <w:qFormat/>
    <w:rPr>
      <w:sz w:val="28"/>
    </w:rPr>
  </w:style>
  <w:style w:type="character" w:styleId="Style18" w:customStyle="1">
    <w:name w:val="Символ нумерации"/>
    <w:uiPriority w:val="99"/>
    <w:qFormat/>
    <w:rPr/>
  </w:style>
  <w:style w:type="character" w:styleId="BodyTextChar" w:customStyle="1">
    <w:name w:val="Body Text Char"/>
    <w:basedOn w:val="DefaultParagraphFont"/>
    <w:link w:val="BodyText"/>
    <w:uiPriority w:val="99"/>
    <w:semiHidden/>
    <w:qFormat/>
    <w:locked/>
    <w:rPr>
      <w:rFonts w:cs="Times New Roman"/>
      <w:color w:val="00000A"/>
      <w:lang w:eastAsia="en-US"/>
    </w:rPr>
  </w:style>
  <w:style w:type="character" w:styleId="BalloonTextChar" w:customStyle="1">
    <w:name w:val="Balloon Text Char"/>
    <w:basedOn w:val="DefaultParagraphFont"/>
    <w:link w:val="BalloonText"/>
    <w:uiPriority w:val="99"/>
    <w:semiHidden/>
    <w:qFormat/>
    <w:locked/>
    <w:rPr>
      <w:rFonts w:ascii="Times New Roman" w:hAnsi="Times New Roman" w:cs="Times New Roman"/>
      <w:color w:val="00000A"/>
      <w:sz w:val="2"/>
      <w:lang w:eastAsia="en-US"/>
    </w:rPr>
  </w:style>
  <w:style w:type="character" w:styleId="HeaderChar" w:customStyle="1">
    <w:name w:val="Header Char"/>
    <w:basedOn w:val="DefaultParagraphFont"/>
    <w:link w:val="Header"/>
    <w:uiPriority w:val="99"/>
    <w:semiHidden/>
    <w:qFormat/>
    <w:locked/>
    <w:rPr>
      <w:rFonts w:cs="Times New Roman"/>
      <w:color w:val="00000A"/>
      <w:lang w:eastAsia="en-US"/>
    </w:rPr>
  </w:style>
  <w:style w:type="character" w:styleId="FooterChar" w:customStyle="1">
    <w:name w:val="Footer Char"/>
    <w:basedOn w:val="DefaultParagraphFont"/>
    <w:link w:val="Footer"/>
    <w:uiPriority w:val="99"/>
    <w:semiHidden/>
    <w:qFormat/>
    <w:locked/>
    <w:rPr>
      <w:rFonts w:cs="Times New Roman"/>
      <w:color w:val="00000A"/>
      <w:lang w:eastAsia="en-US"/>
    </w:rPr>
  </w:style>
  <w:style w:type="character" w:styleId="SubtitleChar" w:customStyle="1">
    <w:name w:val="Subtitle Char"/>
    <w:basedOn w:val="DefaultParagraphFont"/>
    <w:link w:val="Subtitle"/>
    <w:uiPriority w:val="99"/>
    <w:qFormat/>
    <w:locked/>
    <w:rPr>
      <w:rFonts w:ascii="Cambria" w:hAnsi="Cambria" w:eastAsia="Times New Roman" w:cs="Cambria"/>
      <w:color w:val="00000A"/>
      <w:sz w:val="24"/>
      <w:szCs w:val="24"/>
      <w:lang w:eastAsia="en-US"/>
    </w:rPr>
  </w:style>
  <w:style w:type="character" w:styleId="ListLabel15" w:customStyle="1">
    <w:name w:val="ListLabel 15"/>
    <w:uiPriority w:val="99"/>
    <w:qFormat/>
    <w:rsid w:val="00790dda"/>
    <w:rPr/>
  </w:style>
  <w:style w:type="character" w:styleId="ListLabel16" w:customStyle="1">
    <w:name w:val="ListLabel 16"/>
    <w:uiPriority w:val="99"/>
    <w:qFormat/>
    <w:rsid w:val="00790dda"/>
    <w:rPr/>
  </w:style>
  <w:style w:type="character" w:styleId="ListLabel17" w:customStyle="1">
    <w:name w:val="ListLabel 17"/>
    <w:uiPriority w:val="99"/>
    <w:qFormat/>
    <w:rsid w:val="00790dda"/>
    <w:rPr/>
  </w:style>
  <w:style w:type="character" w:styleId="ListLabel18" w:customStyle="1">
    <w:name w:val="ListLabel 18"/>
    <w:uiPriority w:val="99"/>
    <w:qFormat/>
    <w:rsid w:val="00790dda"/>
    <w:rPr/>
  </w:style>
  <w:style w:type="character" w:styleId="ListLabel19" w:customStyle="1">
    <w:name w:val="ListLabel 19"/>
    <w:uiPriority w:val="99"/>
    <w:qFormat/>
    <w:rsid w:val="00790dda"/>
    <w:rPr/>
  </w:style>
  <w:style w:type="character" w:styleId="ListLabel20" w:customStyle="1">
    <w:name w:val="ListLabel 20"/>
    <w:uiPriority w:val="99"/>
    <w:qFormat/>
    <w:rsid w:val="00790dda"/>
    <w:rPr/>
  </w:style>
  <w:style w:type="character" w:styleId="ListLabel21" w:customStyle="1">
    <w:name w:val="ListLabel 21"/>
    <w:uiPriority w:val="99"/>
    <w:qFormat/>
    <w:rsid w:val="00790dda"/>
    <w:rPr/>
  </w:style>
  <w:style w:type="character" w:styleId="ListLabel22" w:customStyle="1">
    <w:name w:val="ListLabel 22"/>
    <w:uiPriority w:val="99"/>
    <w:qFormat/>
    <w:rsid w:val="00790dda"/>
    <w:rPr/>
  </w:style>
  <w:style w:type="character" w:styleId="ListLabel23" w:customStyle="1">
    <w:name w:val="ListLabel 23"/>
    <w:uiPriority w:val="99"/>
    <w:qFormat/>
    <w:rsid w:val="00790dda"/>
    <w:rPr/>
  </w:style>
  <w:style w:type="character" w:styleId="ListLabel24" w:customStyle="1">
    <w:name w:val="ListLabel 24"/>
    <w:uiPriority w:val="99"/>
    <w:qFormat/>
    <w:rsid w:val="00790dda"/>
    <w:rPr/>
  </w:style>
  <w:style w:type="character" w:styleId="ListLabel25" w:customStyle="1">
    <w:name w:val="ListLabel 25"/>
    <w:uiPriority w:val="99"/>
    <w:qFormat/>
    <w:rsid w:val="00790dda"/>
    <w:rPr/>
  </w:style>
  <w:style w:type="character" w:styleId="ListLabel26" w:customStyle="1">
    <w:name w:val="ListLabel 26"/>
    <w:uiPriority w:val="99"/>
    <w:qFormat/>
    <w:rsid w:val="00790dda"/>
    <w:rPr/>
  </w:style>
  <w:style w:type="character" w:styleId="ListLabel27" w:customStyle="1">
    <w:name w:val="ListLabel 27"/>
    <w:uiPriority w:val="99"/>
    <w:qFormat/>
    <w:rsid w:val="00790dda"/>
    <w:rPr/>
  </w:style>
  <w:style w:type="character" w:styleId="ListLabel28" w:customStyle="1">
    <w:name w:val="ListLabel 28"/>
    <w:uiPriority w:val="99"/>
    <w:qFormat/>
    <w:rsid w:val="00790dda"/>
    <w:rPr/>
  </w:style>
  <w:style w:type="character" w:styleId="ListLabel29" w:customStyle="1">
    <w:name w:val="ListLabel 29"/>
    <w:uiPriority w:val="99"/>
    <w:qFormat/>
    <w:rsid w:val="00790dda"/>
    <w:rPr/>
  </w:style>
  <w:style w:type="character" w:styleId="ListLabel30" w:customStyle="1">
    <w:name w:val="ListLabel 30"/>
    <w:uiPriority w:val="99"/>
    <w:qFormat/>
    <w:rsid w:val="00790dda"/>
    <w:rPr/>
  </w:style>
  <w:style w:type="character" w:styleId="ListLabel31" w:customStyle="1">
    <w:name w:val="ListLabel 31"/>
    <w:uiPriority w:val="99"/>
    <w:qFormat/>
    <w:rsid w:val="00790dda"/>
    <w:rPr/>
  </w:style>
  <w:style w:type="character" w:styleId="ListLabel32" w:customStyle="1">
    <w:name w:val="ListLabel 32"/>
    <w:uiPriority w:val="99"/>
    <w:qFormat/>
    <w:rsid w:val="00790dda"/>
    <w:rPr/>
  </w:style>
  <w:style w:type="character" w:styleId="ListLabel33" w:customStyle="1">
    <w:name w:val="ListLabel 33"/>
    <w:uiPriority w:val="99"/>
    <w:qFormat/>
    <w:rsid w:val="00790dda"/>
    <w:rPr/>
  </w:style>
  <w:style w:type="character" w:styleId="ListLabel34" w:customStyle="1">
    <w:name w:val="ListLabel 34"/>
    <w:uiPriority w:val="99"/>
    <w:qFormat/>
    <w:rsid w:val="00790dda"/>
    <w:rPr/>
  </w:style>
  <w:style w:type="character" w:styleId="ListLabel35" w:customStyle="1">
    <w:name w:val="ListLabel 35"/>
    <w:uiPriority w:val="99"/>
    <w:qFormat/>
    <w:rsid w:val="00790dda"/>
    <w:rPr/>
  </w:style>
  <w:style w:type="character" w:styleId="ListLabel36" w:customStyle="1">
    <w:name w:val="ListLabel 36"/>
    <w:uiPriority w:val="99"/>
    <w:qFormat/>
    <w:rsid w:val="00790dda"/>
    <w:rPr/>
  </w:style>
  <w:style w:type="character" w:styleId="ListLabel37" w:customStyle="1">
    <w:name w:val="ListLabel 37"/>
    <w:uiPriority w:val="99"/>
    <w:qFormat/>
    <w:rsid w:val="00790dda"/>
    <w:rPr/>
  </w:style>
  <w:style w:type="character" w:styleId="ListLabel38" w:customStyle="1">
    <w:name w:val="ListLabel 38"/>
    <w:uiPriority w:val="99"/>
    <w:qFormat/>
    <w:rsid w:val="00790dda"/>
    <w:rPr/>
  </w:style>
  <w:style w:type="character" w:styleId="ListLabel39" w:customStyle="1">
    <w:name w:val="ListLabel 39"/>
    <w:uiPriority w:val="99"/>
    <w:qFormat/>
    <w:rsid w:val="00790dda"/>
    <w:rPr/>
  </w:style>
  <w:style w:type="character" w:styleId="ListLabel40" w:customStyle="1">
    <w:name w:val="ListLabel 40"/>
    <w:uiPriority w:val="99"/>
    <w:qFormat/>
    <w:rsid w:val="00790dda"/>
    <w:rPr/>
  </w:style>
  <w:style w:type="character" w:styleId="ListLabel41" w:customStyle="1">
    <w:name w:val="ListLabel 41"/>
    <w:uiPriority w:val="99"/>
    <w:qFormat/>
    <w:rsid w:val="00790dda"/>
    <w:rPr/>
  </w:style>
  <w:style w:type="character" w:styleId="BodyTextChar1" w:customStyle="1">
    <w:name w:val="Body Text Char1"/>
    <w:basedOn w:val="DefaultParagraphFont"/>
    <w:link w:val="BodyText"/>
    <w:uiPriority w:val="99"/>
    <w:semiHidden/>
    <w:qFormat/>
    <w:rsid w:val="00d11674"/>
    <w:rPr>
      <w:color w:val="00000A"/>
      <w:lang w:eastAsia="en-US"/>
    </w:rPr>
  </w:style>
  <w:style w:type="character" w:styleId="BalloonTextChar1" w:customStyle="1">
    <w:name w:val="Balloon Text Char1"/>
    <w:basedOn w:val="DefaultParagraphFont"/>
    <w:link w:val="BalloonText"/>
    <w:uiPriority w:val="99"/>
    <w:semiHidden/>
    <w:qFormat/>
    <w:rsid w:val="00d11674"/>
    <w:rPr>
      <w:rFonts w:ascii="Times New Roman" w:hAnsi="Times New Roman"/>
      <w:color w:val="00000A"/>
      <w:sz w:val="0"/>
      <w:szCs w:val="0"/>
      <w:lang w:eastAsia="en-US"/>
    </w:rPr>
  </w:style>
  <w:style w:type="character" w:styleId="HeaderChar1" w:customStyle="1">
    <w:name w:val="Header Char1"/>
    <w:basedOn w:val="DefaultParagraphFont"/>
    <w:link w:val="Header"/>
    <w:uiPriority w:val="99"/>
    <w:semiHidden/>
    <w:qFormat/>
    <w:rsid w:val="00d11674"/>
    <w:rPr>
      <w:color w:val="00000A"/>
      <w:lang w:eastAsia="en-US"/>
    </w:rPr>
  </w:style>
  <w:style w:type="character" w:styleId="FooterChar1" w:customStyle="1">
    <w:name w:val="Footer Char1"/>
    <w:basedOn w:val="DefaultParagraphFont"/>
    <w:link w:val="Footer"/>
    <w:uiPriority w:val="99"/>
    <w:semiHidden/>
    <w:qFormat/>
    <w:rsid w:val="00d11674"/>
    <w:rPr>
      <w:color w:val="00000A"/>
      <w:lang w:eastAsia="en-US"/>
    </w:rPr>
  </w:style>
  <w:style w:type="character" w:styleId="SubtitleChar1" w:customStyle="1">
    <w:name w:val="Subtitle Char1"/>
    <w:basedOn w:val="DefaultParagraphFont"/>
    <w:link w:val="Subtitle"/>
    <w:uiPriority w:val="11"/>
    <w:qFormat/>
    <w:rsid w:val="00d11674"/>
    <w:rPr>
      <w:rFonts w:ascii="Cambria" w:hAnsi="Cambria" w:eastAsia="" w:cs="" w:asciiTheme="majorHAnsi" w:cstheme="majorBidi" w:eastAsiaTheme="majorEastAsia" w:hAnsiTheme="majorHAnsi"/>
      <w:color w:val="00000A"/>
      <w:sz w:val="24"/>
      <w:szCs w:val="24"/>
      <w:lang w:eastAsia="en-US"/>
    </w:rPr>
  </w:style>
  <w:style w:type="character" w:styleId="ListLabel42">
    <w:name w:val="ListLabel 42"/>
    <w:qFormat/>
    <w:rPr>
      <w:rFonts w:cs="Times New Roman"/>
      <w:sz w:val="22"/>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sz w:val="22"/>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sz w:val="22"/>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sz w:val="22"/>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sz w:val="22"/>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sz w:val="22"/>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sz w:val="22"/>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sz w:val="22"/>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sz w:val="22"/>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sz w:val="22"/>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sz w:val="22"/>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sz w:val="22"/>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sz w:val="22"/>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sz w:val="22"/>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sz w:val="22"/>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sz w:val="22"/>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Style19">
    <w:name w:val="Интернет-ссылка"/>
    <w:rPr>
      <w:color w:val="000080"/>
      <w:u w:val="single"/>
      <w:lang w:val="zxx" w:eastAsia="zxx" w:bidi="zxx"/>
    </w:rPr>
  </w:style>
  <w:style w:type="character" w:styleId="ListLabel195">
    <w:name w:val="ListLabel 195"/>
    <w:qFormat/>
    <w:rPr>
      <w:rFonts w:cs="Times New Roman"/>
      <w:sz w:val="22"/>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sz w:val="22"/>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sz w:val="22"/>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sz w:val="22"/>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sz w:val="22"/>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sz w:val="22"/>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sz w:val="22"/>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sz w:val="22"/>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sz w:val="22"/>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paragraph" w:styleId="Style20" w:customStyle="1">
    <w:name w:val="Заголовок"/>
    <w:basedOn w:val="Normal"/>
    <w:next w:val="Style21"/>
    <w:uiPriority w:val="99"/>
    <w:qFormat/>
    <w:pPr>
      <w:keepNext w:val="true"/>
      <w:spacing w:before="240" w:after="120"/>
    </w:pPr>
    <w:rPr>
      <w:rFonts w:ascii="Liberation Sans" w:hAnsi="Liberation Sans" w:cs="Mangal"/>
      <w:sz w:val="28"/>
      <w:szCs w:val="28"/>
    </w:rPr>
  </w:style>
  <w:style w:type="paragraph" w:styleId="Style21">
    <w:name w:val="Body Text"/>
    <w:basedOn w:val="Normal"/>
    <w:link w:val="BodyTextChar"/>
    <w:uiPriority w:val="99"/>
    <w:pPr>
      <w:spacing w:lineRule="auto" w:line="288" w:before="0" w:after="140"/>
    </w:pPr>
    <w:rPr/>
  </w:style>
  <w:style w:type="paragraph" w:styleId="Style22">
    <w:name w:val="List"/>
    <w:basedOn w:val="Style21"/>
    <w:uiPriority w:val="99"/>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Caption">
    <w:name w:val="caption"/>
    <w:basedOn w:val="Normal"/>
    <w:uiPriority w:val="99"/>
    <w:qFormat/>
    <w:pPr>
      <w:suppressLineNumbers/>
      <w:spacing w:before="120" w:after="120"/>
    </w:pPr>
    <w:rPr>
      <w:rFonts w:cs="Mangal"/>
      <w:i/>
      <w:iCs/>
      <w:sz w:val="24"/>
      <w:szCs w:val="24"/>
    </w:rPr>
  </w:style>
  <w:style w:type="paragraph" w:styleId="Index1">
    <w:name w:val="index 1"/>
    <w:basedOn w:val="Normal"/>
    <w:next w:val="Normal"/>
    <w:autoRedefine/>
    <w:uiPriority w:val="99"/>
    <w:semiHidden/>
    <w:qFormat/>
    <w:rsid w:val="00790dda"/>
    <w:pPr>
      <w:ind w:left="220" w:hanging="220"/>
    </w:pPr>
    <w:rPr/>
  </w:style>
  <w:style w:type="paragraph" w:styleId="Indexheading">
    <w:name w:val="index heading"/>
    <w:basedOn w:val="Normal"/>
    <w:uiPriority w:val="99"/>
    <w:qFormat/>
    <w:pPr>
      <w:suppressLineNumbers/>
    </w:pPr>
    <w:rPr>
      <w:rFonts w:cs="Mangal"/>
    </w:rPr>
  </w:style>
  <w:style w:type="paragraph" w:styleId="NoSpacing">
    <w:name w:val="No Spacing"/>
    <w:uiPriority w:val="99"/>
    <w:qFormat/>
    <w:pPr>
      <w:widowControl/>
      <w:bidi w:val="0"/>
      <w:jc w:val="left"/>
    </w:pPr>
    <w:rPr>
      <w:rFonts w:ascii="Calibri" w:hAnsi="Calibri" w:eastAsia="Calibri" w:cs="Tahoma"/>
      <w:color w:val="00000A"/>
      <w:kern w:val="0"/>
      <w:sz w:val="22"/>
      <w:szCs w:val="22"/>
      <w:lang w:val="ru-RU" w:eastAsia="en-US" w:bidi="ar-SA"/>
    </w:rPr>
  </w:style>
  <w:style w:type="paragraph" w:styleId="Style25" w:customStyle="1">
    <w:name w:val="Знак Знак Знак Знак Знак Знак Знак Знак Знак Знак"/>
    <w:basedOn w:val="Normal"/>
    <w:uiPriority w:val="99"/>
    <w:qFormat/>
    <w:pPr>
      <w:spacing w:lineRule="exact" w:line="240"/>
    </w:pPr>
    <w:rPr>
      <w:rFonts w:ascii="Verdana" w:hAnsi="Verdana" w:eastAsia="Times New Roman" w:cs="Times New Roman"/>
      <w:sz w:val="24"/>
      <w:szCs w:val="24"/>
      <w:lang w:val="en-US"/>
    </w:rPr>
  </w:style>
  <w:style w:type="paragraph" w:styleId="BalloonText">
    <w:name w:val="Balloon Text"/>
    <w:basedOn w:val="Normal"/>
    <w:link w:val="BalloonTextChar"/>
    <w:uiPriority w:val="99"/>
    <w:qFormat/>
    <w:pPr>
      <w:spacing w:lineRule="auto" w:line="240" w:before="0" w:after="0"/>
    </w:pPr>
    <w:rPr>
      <w:rFonts w:ascii="Segoe UI" w:hAnsi="Segoe UI" w:cs="Segoe UI"/>
      <w:sz w:val="18"/>
      <w:szCs w:val="18"/>
    </w:rPr>
  </w:style>
  <w:style w:type="paragraph" w:styleId="Style26">
    <w:name w:val="Header"/>
    <w:basedOn w:val="Normal"/>
    <w:link w:val="HeaderChar"/>
    <w:uiPriority w:val="99"/>
    <w:pPr>
      <w:tabs>
        <w:tab w:val="center" w:pos="4677" w:leader="none"/>
        <w:tab w:val="right" w:pos="9355" w:leader="none"/>
      </w:tabs>
      <w:spacing w:lineRule="auto" w:line="240" w:before="0" w:after="0"/>
    </w:pPr>
    <w:rPr/>
  </w:style>
  <w:style w:type="paragraph" w:styleId="Style27">
    <w:name w:val="Footer"/>
    <w:basedOn w:val="Normal"/>
    <w:link w:val="FooterChar"/>
    <w:uiPriority w:val="99"/>
    <w:pPr>
      <w:tabs>
        <w:tab w:val="center" w:pos="4677" w:leader="none"/>
        <w:tab w:val="right" w:pos="9355" w:leader="none"/>
      </w:tabs>
      <w:spacing w:lineRule="auto" w:line="240" w:before="0" w:after="0"/>
    </w:pPr>
    <w:rPr/>
  </w:style>
  <w:style w:type="paragraph" w:styleId="ConsPlusNormal" w:customStyle="1">
    <w:name w:val="ConsPlusNormal"/>
    <w:uiPriority w:val="99"/>
    <w:qFormat/>
    <w:pPr>
      <w:widowControl/>
      <w:bidi w:val="0"/>
      <w:jc w:val="left"/>
    </w:pPr>
    <w:rPr>
      <w:rFonts w:ascii="Arial" w:hAnsi="Arial" w:eastAsia="Calibri" w:cs="Arial"/>
      <w:color w:val="00000A"/>
      <w:kern w:val="0"/>
      <w:sz w:val="20"/>
      <w:szCs w:val="20"/>
      <w:lang w:val="ru-RU" w:eastAsia="en-US" w:bidi="ar-SA"/>
    </w:rPr>
  </w:style>
  <w:style w:type="paragraph" w:styleId="ListParagraph">
    <w:name w:val="List Paragraph"/>
    <w:basedOn w:val="Normal"/>
    <w:uiPriority w:val="99"/>
    <w:qFormat/>
    <w:pPr>
      <w:spacing w:before="0" w:after="160"/>
      <w:ind w:left="720" w:hanging="0"/>
      <w:contextualSpacing/>
    </w:pPr>
    <w:rPr/>
  </w:style>
  <w:style w:type="paragraph" w:styleId="Style28" w:customStyle="1">
    <w:name w:val="Содержимое таблицы"/>
    <w:basedOn w:val="Normal"/>
    <w:uiPriority w:val="99"/>
    <w:qFormat/>
    <w:pPr/>
    <w:rPr/>
  </w:style>
  <w:style w:type="paragraph" w:styleId="Style29" w:customStyle="1">
    <w:name w:val="Заголовок таблицы"/>
    <w:basedOn w:val="Style28"/>
    <w:uiPriority w:val="99"/>
    <w:qFormat/>
    <w:pPr/>
    <w:rPr/>
  </w:style>
  <w:style w:type="paragraph" w:styleId="Standard" w:customStyle="1">
    <w:name w:val="Standard"/>
    <w:uiPriority w:val="99"/>
    <w:qFormat/>
    <w:pPr>
      <w:widowControl w:val="false"/>
      <w:suppressAutoHyphens w:val="true"/>
      <w:bidi w:val="0"/>
      <w:jc w:val="left"/>
      <w:textAlignment w:val="baseline"/>
    </w:pPr>
    <w:rPr>
      <w:rFonts w:ascii="Times New Roman" w:hAnsi="Times New Roman" w:eastAsia="Calibri" w:cs="Tahoma"/>
      <w:color w:val="00000A"/>
      <w:kern w:val="0"/>
      <w:sz w:val="24"/>
      <w:szCs w:val="24"/>
      <w:lang w:val="ru-RU" w:eastAsia="zh-CN" w:bidi="ar-SA"/>
    </w:rPr>
  </w:style>
  <w:style w:type="paragraph" w:styleId="Style30">
    <w:name w:val="Subtitle"/>
    <w:basedOn w:val="Normal"/>
    <w:link w:val="SubtitleChar"/>
    <w:uiPriority w:val="99"/>
    <w:qFormat/>
    <w:pPr>
      <w:spacing w:lineRule="auto" w:line="240" w:before="0" w:after="240"/>
    </w:pPr>
    <w:rPr>
      <w:rFonts w:ascii="Cambria" w:hAnsi="Cambria" w:cs="Mangal"/>
      <w:color w:val="404040"/>
      <w:sz w:val="30"/>
      <w:szCs w:val="3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2939</TotalTime>
  <Application>LibreOffice/5.4.4.2$Windows_x86 LibreOffice_project/2524958677847fb3bb44820e40380acbe820f960</Application>
  <Pages>8</Pages>
  <Words>2123</Words>
  <Characters>14100</Characters>
  <CharactersWithSpaces>16346</CharactersWithSpaces>
  <Paragraphs>237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2015-06-01T04:12:00Z</dcterms:created>
  <dc:creator>User</dc:creator>
  <dc:description/>
  <dc:language>ru-RU</dc:language>
  <cp:lastModifiedBy/>
  <cp:lastPrinted>2018-07-11T09:19:13Z</cp:lastPrinted>
  <dcterms:modified xsi:type="dcterms:W3CDTF">2018-07-25T10:23:36Z</dcterms:modified>
  <cp:revision>95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