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"/>
        <w:gridCol w:w="3321"/>
        <w:gridCol w:w="801"/>
        <w:gridCol w:w="394"/>
        <w:gridCol w:w="499"/>
        <w:gridCol w:w="13"/>
        <w:gridCol w:w="289"/>
        <w:gridCol w:w="945"/>
        <w:gridCol w:w="236"/>
        <w:gridCol w:w="945"/>
        <w:gridCol w:w="945"/>
        <w:gridCol w:w="945"/>
        <w:gridCol w:w="1247"/>
      </w:tblGrid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shd w:val="clear" w:color="FFFFFF" w:fill="auto"/>
            <w:vAlign w:val="bottom"/>
          </w:tcPr>
          <w:p w:rsidR="00B4290C" w:rsidRPr="00B4290C" w:rsidRDefault="00901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290C">
              <w:rPr>
                <w:rFonts w:ascii="Times New Roman" w:hAnsi="Times New Roman" w:cs="Times New Roman"/>
                <w:sz w:val="18"/>
                <w:szCs w:val="18"/>
              </w:rPr>
              <w:t>Приложение №6</w:t>
            </w:r>
            <w:r w:rsidRPr="00B429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B4290C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B429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B429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B4290C">
              <w:rPr>
                <w:rFonts w:ascii="Times New Roman" w:hAnsi="Times New Roman" w:cs="Times New Roman"/>
                <w:sz w:val="18"/>
                <w:szCs w:val="18"/>
              </w:rPr>
              <w:t>Кондопожского</w:t>
            </w:r>
            <w:proofErr w:type="spellEnd"/>
            <w:r w:rsidRPr="00B429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2019 год</w:t>
            </w:r>
          </w:p>
          <w:p w:rsidR="00E27B00" w:rsidRDefault="00901755">
            <w:pPr>
              <w:jc w:val="right"/>
              <w:rPr>
                <w:szCs w:val="16"/>
              </w:rPr>
            </w:pPr>
            <w:r w:rsidRPr="00B4290C">
              <w:rPr>
                <w:rFonts w:ascii="Times New Roman" w:hAnsi="Times New Roman" w:cs="Times New Roman"/>
                <w:sz w:val="18"/>
                <w:szCs w:val="18"/>
              </w:rPr>
              <w:t xml:space="preserve"> и  на плановый период 2020 и 2021 годов»</w:t>
            </w:r>
            <w:r w:rsidRPr="00B4290C">
              <w:rPr>
                <w:rFonts w:ascii="Times New Roman" w:hAnsi="Times New Roman" w:cs="Times New Roman"/>
                <w:sz w:val="18"/>
                <w:szCs w:val="18"/>
              </w:rPr>
              <w:br/>
              <w:t>№  от 26 декабря 2019 г.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B00" w:rsidRDefault="00E27B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vMerge w:val="restart"/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Ведомственная структура расходов</w:t>
            </w:r>
            <w:r>
              <w:rPr>
                <w:rFonts w:ascii="Times New Roman" w:hAnsi="Times New Roman"/>
                <w:b/>
                <w:sz w:val="22"/>
              </w:rPr>
              <w:t xml:space="preserve"> бюджета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муниципального района на 2019 год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по главным распорядителям бюджетных средств, по разделам, подразделам, 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vMerge/>
            <w:shd w:val="clear" w:color="FFFFFF" w:fill="auto"/>
            <w:vAlign w:val="bottom"/>
          </w:tcPr>
          <w:p w:rsidR="00E27B00" w:rsidRDefault="00E27B0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"/>
        <w:gridCol w:w="5394"/>
        <w:gridCol w:w="735"/>
        <w:gridCol w:w="446"/>
        <w:gridCol w:w="446"/>
        <w:gridCol w:w="1352"/>
        <w:gridCol w:w="735"/>
        <w:gridCol w:w="1552"/>
      </w:tblGrid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53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714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 сумма на год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E27B00" w:rsidTr="00B42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/>
          <w:tblHeader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539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распорядителя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B00" w:rsidRDefault="00E27B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1 080 305 179,94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85 458 603,62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31 450,00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31 450,00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31 450,00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59 666 862,63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59 666 862,63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59 666 862,63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1 651 283,67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1 651 283,67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1 651 283,67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54 496 084,96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53 561 201,34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53 561 201,34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933 428,62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933 428,62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 вопросов местного значения в части составления проектов бюджетов, исполнения бюджетов и составления отчетов об исполнении бюджетов сельских поселений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>
              <w:rPr>
                <w:rFonts w:ascii="Times New Roman" w:hAnsi="Times New Roman"/>
                <w:sz w:val="20"/>
                <w:szCs w:val="20"/>
              </w:rPr>
              <w:t>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352 590,00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269 690,00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269 690,00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внутреннего муниципального контроля поселений, 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межбюджетных трансфертов, предоставляемых из бюджетов поселений в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11 604,00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11 604,00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бесперебойной эксплуатации федеральных государственных информационных систем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1100144220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1 158 000,00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1 158 000,00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за достижение показателей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граждан, нуждающихся в жилых помещениях; в части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110016401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1100164010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66 300,00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1100164010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66 300,00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ascii="Times New Roman" w:hAnsi="Times New Roman"/>
                <w:sz w:val="20"/>
                <w:szCs w:val="20"/>
              </w:rPr>
              <w:t>юрисдикции в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301 977,79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301 977,79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301 977,79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301 977,79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301 977,79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301 977,79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25 454 413,20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219 192,76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219 192,76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энергосбережению и повышению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в сфере управления при осуществлении ими полномочий местной администрации поселения, являющегося административным центром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193 492,76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193 492,76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193 492,76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энергосбережение и повышение энергетической эффективности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25 235 220,44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25 235 220,44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426 449,00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426 449,00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426 449,00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проведение ремонта в здании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 на решение иных вопросов местного значения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4 806 507,24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4 806 507,24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4 806 507,24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336 043,00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336 043,00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336 043,00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3 388 769,07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2 083 795,10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2 083 795,10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1 304 973,97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885 013,30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419 960,67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административно-хозяйственной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16 277 452,13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11 923 868,26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11 923 868,26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4 029 932,88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4 029 932,88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323 650,99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134 886,30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188 764,69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направление деятельности в сфере национальной обороны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первичному воинскому учету на территориях, где отсутствуют военные </w:t>
            </w:r>
            <w:r>
              <w:rPr>
                <w:rFonts w:ascii="Times New Roman" w:hAnsi="Times New Roman"/>
                <w:sz w:val="20"/>
                <w:szCs w:val="20"/>
              </w:rPr>
              <w:t>комиссариаты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875 200,00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на финансовое обеспечение расходов, связанных с ликвидацией последствий стихийных бедствий и других </w:t>
            </w:r>
            <w:r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rFonts w:ascii="Times New Roman" w:hAnsi="Times New Roman"/>
                <w:b/>
                <w:sz w:val="22"/>
              </w:rPr>
              <w:t>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 Профилактика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организацию и проведение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информационно-пропагандистских мероприятий по разъяснению сущности и общественной опасности терроризма и экстремизма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5 340,00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29 073 361,76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82 486,79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82 486,79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82 486,79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82 486,79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82 486,79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82 486,79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1 046 000,00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Республики Карелия мероприятий по отлову и содержанию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безнадзорных животных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732 318,00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732 318,00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313 682,00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313 682,00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26 409 000,00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26 409 000,00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14 209 000,00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в целях проектирования, ремонта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14 209 000,00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14 209 000,00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2 206 000,00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12 003 000,00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национальных проектов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на реализацию отдельных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федерального проекта «Дорожная сеть» в рамках национального проекта «Безопасные и качественные дороги»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финансовому обеспечению дорожной деятельности в муниципальных образованиях (в рамках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национального проекта "Безопасные и качественные автомобильные дороги")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1 535 874,97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738 167,05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«Финансовая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738 167,05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0700143240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688 167,05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0700143240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688 167,05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0700143240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688 167,05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07001S3240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07001S3240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07001S3240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797 707,92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797 707,92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реализацию дополнительных мероприятий по поддержке малого и среднего предпринимательства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функций в </w:t>
            </w:r>
            <w:r>
              <w:rPr>
                <w:rFonts w:ascii="Times New Roman" w:hAnsi="Times New Roman"/>
                <w:sz w:val="20"/>
                <w:szCs w:val="20"/>
              </w:rPr>
              <w:t>области градостроительной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187 707,92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187 707,92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187 707,92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59 035 090,72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43 771 064,29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1 577 620,56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1 577 620,56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уплату взносов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964 400,00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964 400,00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техническое обследование жилых многоквартирных домов в сельских поселениях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102 139,78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102 139,78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102 139,78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ремонт и содержание муниципального жилищного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247 583,80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247 583,80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247 583,80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263 496,98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263 496,98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263 496,98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42 193 443,73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жилищно-коммунального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благоустроенного жилого помещения в целях 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>судебного решения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1100590500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1100590500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713 400,00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1100590500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713 400,00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на реализацию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41 480 043,73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поступивших от государственной кор</w:t>
            </w:r>
            <w:r>
              <w:rPr>
                <w:rFonts w:ascii="Times New Roman" w:hAnsi="Times New Roman"/>
                <w:sz w:val="20"/>
                <w:szCs w:val="20"/>
              </w:rPr>
              <w:t>порации - Фонда содействия реформирования жилищно-коммунального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41 065 251,74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41 065 251,74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41 065 251,74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414 791,99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414 791,99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414 791,99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12 560 357,20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60 357,20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60 357,20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в части организации в границах поселения водоснабжения населения в пределах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полномочий, установленных законодательством Российской Федерации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60 357,20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60 357,20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60 357,20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жилищно-коммунального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обеспечению доступным и комфортным жильем и жилищно-коммунальными услугами в рамках государственной программы Республики Карелия «Обеспечение доступным и комфортным жильем и жилищно-коммунальными услугами» (в целях реализации мероприятий по обеспечению нео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бходимой инфраструктурой земельных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участков, предоставляемых семьям, имеющих трех и более детей, для индивидуального жилищного строительства) на 2019 год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2 703 669,23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577 622,00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311 622,00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организации содержания мест захоронения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216 650,00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216 650,00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216 650,00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94 972,00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94 972,00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94 972,00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участие в организации деятельности по сбору (в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раздельному сбору) и транспортированию твердых коммунальных отходов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2 126 047,23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жилищно-коммунального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2 126 047,23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сфере благоустройства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1 201 047,23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1 201 047,23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1 201 047,23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сфере благоустройства за счет иных межбюджетных трансфертов на стимулирование органов местного </w:t>
            </w:r>
            <w:r>
              <w:rPr>
                <w:rFonts w:ascii="Times New Roman" w:hAnsi="Times New Roman"/>
                <w:sz w:val="20"/>
                <w:szCs w:val="20"/>
              </w:rPr>
              <w:t>самоуправления за достижение прироста поступления отдельных налоговых доходов, собираемых на территории муниципальных районов (городских округов) и зачисляемых в консолидированный бюджет Республики Карелия и зачисляемых в консолидированный бюджет Республик</w:t>
            </w:r>
            <w:r>
              <w:rPr>
                <w:rFonts w:ascii="Times New Roman" w:hAnsi="Times New Roman"/>
                <w:sz w:val="20"/>
                <w:szCs w:val="20"/>
              </w:rPr>
              <w:t>и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1100544080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1100544080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1100544080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содействие участию во Всероссийском конкурсе </w:t>
            </w:r>
            <w:r>
              <w:rPr>
                <w:rFonts w:ascii="Times New Roman" w:hAnsi="Times New Roman"/>
                <w:sz w:val="20"/>
                <w:szCs w:val="20"/>
              </w:rPr>
              <w:t>лучших проектов создания комфортной городской среды в 2020 году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1100544180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775 105 048,92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304 343 565,25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301 773 579,47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298 127 271,86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298 127 271,86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636 828,00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636 828,00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636 828,00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1 329 383,00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1 212 983,00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1 212 983,00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96 472,00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96 472,00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171 903 503,0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170 448 431,78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170 448 431,78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1 455 071,22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1 455 071,22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сфере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275 085,08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275 085,08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275 085,08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6 969 295,00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6 969 295,00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6 969 295,00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53 773 707,93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16 994 956,96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16 994 956,96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35 383 669,92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35 383 669,92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526 634,65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526 634,65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868 446,40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60 906,57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807 539,83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осуществления присмотра и ухода за детьми в сфере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61 978 070,56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21 293 536,97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21 293 536,97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40 565 454,55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40 565 454,55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119 079,04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119 079,04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детей, 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которых оба или один из родителей являются инвалидами I или II группы, посещающих муниципальные образовательные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реализующие образовательную программу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943 936,21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943 936,21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943 936,21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«Доступная среда»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03101L0270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168 034,16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03101L0270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168 034,16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03101L0270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168 034,16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03101S3140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149 428,92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03101S3140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149 428,92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03101S3140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149 428,92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3 646 307,61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3 646 307,61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3 646 307,61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1 584 405,78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1 584 405,78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государственной программы Республики Карелия "Развитие образования" в целях проведения мероприятий по повышению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эффективности в муниципальных 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842 483,00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81 688,50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81 688,50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760 794,50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760 794,50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741 922,78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741 922,78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741 922,78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985 580,00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985 580,00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сотрудников муниципальных 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осуществляющих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985 580,00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985 580,00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985 580,00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322 073 427,09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309 355 532,92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309 355 532,92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начального общего, основного общего, среднего </w:t>
            </w:r>
            <w:r>
              <w:rPr>
                <w:rFonts w:ascii="Times New Roman" w:hAnsi="Times New Roman"/>
                <w:sz w:val="20"/>
                <w:szCs w:val="20"/>
              </w:rPr>
              <w:t>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306 276 840,53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1 146 489,00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1 146 489,00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1 146 489,00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</w:t>
            </w:r>
            <w:r>
              <w:rPr>
                <w:rFonts w:ascii="Times New Roman" w:hAnsi="Times New Roman"/>
                <w:sz w:val="20"/>
                <w:szCs w:val="20"/>
              </w:rPr>
              <w:t>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671 617,00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649 695,80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649 695,80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21 921,20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21 921,20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232 378 023,00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222 063 182,42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222 063 182,42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10 199 552,74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10 199 552,74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115 287,84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115 287,84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1 734 182,84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1 734 182,84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1 734 182,84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2 496 370,00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2 496 370,00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2 496 370,00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государственной программы Республики Карелия "Развитие образования" в целях организации транспортного обслуживания обучающихся, проживающих в сельских населенных пунктах,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которых отсутствуют общеобразовательные организации к месту обучения и обратно; проведения ремонта зданий общеобразовательных организаций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4 570 000,00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4 570 000,00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реализацию мероприятий по повышению эффективности и результативности бюджетных расходов, в том числе на проведение ремонта в муниципальных 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3 192 460,00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3 192 460,00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3 192 460,00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52 820 852,60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17 585 731,99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17 585 731,99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32 349 080,31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32 349 080,31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41 002,52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41 002,52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2 845 037,78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103 879,58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2 741 158,20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реализующие образовательные 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2 219 042,93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2 219 042,93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2 219 042,93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859 772,16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859 772,16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859 772,16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сельских населенных пунктах, на территории которых отсутствуют общеобразовательные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к месту 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 проведение мероприятий по повышению энергетической эффективности в муниципальных образовательных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4 188 031,00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2 206 893,00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2 206 893,00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1 981 138,00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1 981 138,00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2 415 692,39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2 415 692,39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2 415 692,39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отдельных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созданию в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12 717 894,17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12 717 894,17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государственной программы Республики Карелия "Развитие образования" в целях проведения мероприятий по повышению энергетической эффективности в муниципальных 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9 015 517,00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921 176,04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921 176,04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8 094 340,96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8 094 340,96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по повышению эффективности и результативности бюджетных расходов, в том числе на реализацию мероприятий по энергосбережению и повышению энергетической эффективности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2 888 540,00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2 457 466,69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2 457 466,69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431 073,31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431 073,31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813 837,17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532 451,17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532 451,17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281 386,00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281 386,00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77 747 314,60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77 400 314,60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77 400 314,60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67 088 810,99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</w:t>
            </w:r>
            <w:r>
              <w:rPr>
                <w:rFonts w:ascii="Times New Roman" w:hAnsi="Times New Roman"/>
                <w:sz w:val="20"/>
                <w:szCs w:val="20"/>
              </w:rPr>
              <w:t>педагогическим работникам муниципальных образовательных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63 683,00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63 683,00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63 683,00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компенсацией расходов на повышение оплаты труда работников в 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1 425 571,00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1 425 571,00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1 425 571,00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отдельных мероприятий, направленных на обеспечение условий осуществления деятельности дополнительных общеобразовательных,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 за счет иных межбюджетных трансфертов, направленных на поощрение органов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по результатам оценки качества управления муниципальными финансами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0330144100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0330144100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0330144100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дополнительных общеобразовательных,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65 299 556,99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48 276 063,00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48 276 063,00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14 953 850,00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14 953 850,00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2 069 643,99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44 277,98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2 025 366,01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6 704 000,00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в целях частичной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6 704 000,00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6 704 000,00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6 704 000,00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отдельных мероприятий федерального проекта «Культурная среда» национального проекта «Культура»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033A100000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3 607 503,61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отрасли культуры </w:t>
            </w:r>
            <w:r>
              <w:rPr>
                <w:rFonts w:ascii="Times New Roman" w:hAnsi="Times New Roman"/>
                <w:sz w:val="20"/>
                <w:szCs w:val="20"/>
              </w:rPr>
              <w:t>(приобретение музыкальных инструментов, оборудования и материалов для детских школ искусств по видам искусств)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033A155190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3 607 503,61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033A155190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3 607 503,61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033A155190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3 607 503,61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347 000,00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869 439,00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658 819,00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201 770,00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201 770,00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образовательных и общеобразовательных организациях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173 870,00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173 870,00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173 870,00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27 900,00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377 449,00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377 449,00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организациях, обеспечение дополнительного образования в общеобразовательных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343 604,00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343 604,00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343 604,00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в сфере начального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33 845,00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33 845,00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33 845,00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79 600,00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79 600,00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дополнительных общеобразовательных,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79 600,00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79 600,00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79 600,00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"Реализация мероприятий федерального проекта "Культурная среда" национального проекта "Культура"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163 120,00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55 320,00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контроля поселений,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26 820,00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26 820,00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26 820,00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квалификации и профессиональной переподготовке персонала государственных (муниципальных) </w:t>
            </w:r>
            <w:r>
              <w:rPr>
                <w:rFonts w:ascii="Times New Roman" w:hAnsi="Times New Roman"/>
                <w:sz w:val="20"/>
                <w:szCs w:val="20"/>
              </w:rPr>
              <w:t>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107 800,00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107 800,00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2 628 290,00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2 628 290,00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отдыха детей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2 628 290,00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в целях организации отдыха детей в каникулярное время государственной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Карелия "Совершенствование социальной защиты граждан",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Конждопожского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1 511 000,00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1 511 000,00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отдыха детей в каникулярное время, организуемые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муниципальными учреждениями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1 117 290,00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1 117 290,00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1 117 290,00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67 443 012,98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67 443 012,98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35 352 942,29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8 065,00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8 065,00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8 065,00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35 344 877,29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34 486 684,73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34 486 684,73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742 454,89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742 454,89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73 653,11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73 653,11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42 084,56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41 784,56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32 090 070,69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бюджетной сферы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10 928 029,00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10 928 029,00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10 928 029,00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финансово-экономических функций бухгалтерского и иного сопровождения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20 913 718,00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20 308 378,11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20 308 378,11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602 529,00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602 529,00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2 810,89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2 810,89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вопросов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9 851,69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9 851,69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9 851,69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t>частичной компенсацией расходов на повышение оплаты труда работников в  сфере других вопросов в области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1107743170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238 472,00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1107743170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238 472,00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1107743170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238 472,00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36 625 977,52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33 315 291,52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25 880 646,88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музейного обслуживания </w:t>
            </w:r>
            <w:r>
              <w:rPr>
                <w:rFonts w:ascii="Times New Roman" w:hAnsi="Times New Roman"/>
                <w:sz w:val="20"/>
                <w:szCs w:val="20"/>
              </w:rPr>
              <w:t>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2 398 587,73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2 398 587,73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1 772 993,62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1 772 993,62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618 485,49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618 485,49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7 108,62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7 108,62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15 252 879,79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r>
              <w:rPr>
                <w:rFonts w:ascii="Times New Roman" w:hAnsi="Times New Roman"/>
                <w:sz w:val="20"/>
                <w:szCs w:val="20"/>
              </w:rPr>
              <w:t>библиотечного обслуживания населения библиотеками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14 878 503,97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11 793 514,22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11 793 514,22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2 976 018,57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2 976 018,57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67 971,16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57 971,16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41 000,02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сборов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41 000,02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отрасли культуры (комплектование книжных </w:t>
            </w:r>
            <w:r>
              <w:rPr>
                <w:rFonts w:ascii="Times New Roman" w:hAnsi="Times New Roman"/>
                <w:sz w:val="20"/>
                <w:szCs w:val="20"/>
              </w:rPr>
              <w:t>фондов библиотек; государственная поддержка лучших сельских учреждений культуры)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04002L5190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164 375,82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04002L5190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164 375,82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04002L5190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164 375,82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майских указов Президента Российской Федерации"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3 252 679,36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мероприятий, связанных с частичной компенсацией расходов на 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0400343250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3 252 679,36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0400343250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3 252 679,36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0400343250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3 252 679,36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федерального проекта "Культурная среда" национального проекта "Культура"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4 976 500,00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4 976 500,00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17 014,00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17 014,00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4 959 486,00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4 959 486,00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>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74 850,00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7 359 794,64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7 230,00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7 230,00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7 352 564,64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1 690 744,00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1 690 744,00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1 690 744,00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мероприятий, направленных на частичную компенсацию расходов на повышение оплаты труда работников бюджетных учреждений культуры; в целях разработки проектной документации для проведения ремонтно-восстановительных работ на мемориальных, военно-исторических о</w:t>
            </w:r>
            <w:r>
              <w:rPr>
                <w:rFonts w:ascii="Times New Roman" w:hAnsi="Times New Roman"/>
                <w:sz w:val="20"/>
                <w:szCs w:val="20"/>
              </w:rPr>
              <w:t>бъектах и памятниках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4 369 320,64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4 369 320,64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4 169 320,64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компенсацией расходов на повышение оплаты труда работников бюджетных учреждений культуры; мероприятий по сохранению мемориальных, военно-исторических объектов и памятников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1 292 500,00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1 292 500,00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3 310 686,00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3 310 686,00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2 515 153,00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2 515 153,00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2 515 153,00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2 515 153,00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795 533,00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компенсацией расходов на повышение оплаты труда работников в сфере других вопросов в области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795 533,00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795 533,00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795 533,00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47 871 349,70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7 753 340,91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7 753 340,91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7 753 340,91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7 753 340,91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7 753 340,91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Публичные нормативные социальные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гражданам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7 753 340,91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13 233 008,79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13 233 008,79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«Улучшение жилищных условий граждан, проживающих в сельской местности, в том числе молодых семей и </w:t>
            </w:r>
            <w:r>
              <w:rPr>
                <w:rFonts w:ascii="Times New Roman" w:hAnsi="Times New Roman"/>
                <w:sz w:val="20"/>
                <w:szCs w:val="20"/>
              </w:rPr>
              <w:t>молодых специалистов»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01103L5671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01103L5671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2 328 008,79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01103L5671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2 328 008,79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«Социальная поддержка обучающихся и воспитанников муниципальных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в муниципальных 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реализующих образовательные программы начального общего, основного общего 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общего образования: из малоимущих семей;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</w:t>
            </w:r>
            <w:r>
              <w:rPr>
                <w:rFonts w:ascii="Times New Roman" w:hAnsi="Times New Roman"/>
                <w:sz w:val="20"/>
                <w:szCs w:val="20"/>
              </w:rPr>
              <w:t>елия, имеющих детей;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являющихся детьми-инвалидами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10 905 000,00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10 905 000,00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 и детства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25 729 000,00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их числа по </w:t>
            </w:r>
            <w:r>
              <w:rPr>
                <w:rFonts w:ascii="Times New Roman" w:hAnsi="Times New Roman"/>
                <w:sz w:val="20"/>
                <w:szCs w:val="20"/>
              </w:rPr>
              <w:t>договорам найма специализированных 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специализированных жилых помещений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6 841 000,00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6 841 000,00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выплате компенсации платы, взимаемой с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160 440,00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160 440,00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17 827 560,00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17 827 560,00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1 156 000,00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их числа по договорам найма </w:t>
            </w:r>
            <w:r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жилых помещений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105 872,10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105 872,10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10 127,90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сборов и иных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9 827,90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государственных полномочий Республики Карелия по организации и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органов опеки и попечительства»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12 191 340,85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11 994 578,62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 «Развитие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11 994 578,62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8 034 578,62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370 339,00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370 339,00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370 339,00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7 664 239,62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6 493 714,94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6 493 714,94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1 122 002,72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1 122 002,72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48 521,96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48 521,96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«Реализация 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программы Республики Карелия «Развитие физической культуры, </w:t>
            </w:r>
            <w:r>
              <w:rPr>
                <w:rFonts w:ascii="Times New Roman" w:hAnsi="Times New Roman"/>
                <w:sz w:val="20"/>
                <w:szCs w:val="20"/>
              </w:rPr>
              <w:t>спорта и 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2 471 125,00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2 471 125,00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1 278 875,00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1 278 875,00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поддержке спортивных организаций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Массовый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122 504,23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122 504,23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условий для развития физической культуры, школьного спорта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массового спорта, организация проведения официальных физкультурно-оздоровительных и спортивных мероприятий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122 504,23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развития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мероприятий, обеспечение участия спортивных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сборных команд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</w:t>
            </w:r>
            <w:r>
              <w:rPr>
                <w:rFonts w:ascii="Times New Roman" w:hAnsi="Times New Roman"/>
                <w:sz w:val="20"/>
                <w:szCs w:val="20"/>
              </w:rPr>
              <w:t>на в региональных официальных физкультурных и спортивных мероприятиях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122 504,23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51 460,00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51 460,00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71 044,23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71 044,23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74 258,00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74 258,00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57 333,00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57 333,00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16 925,00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сфере других вопросов в области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16 925,00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16 925,00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1101143170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16 925,00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обслуживания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связанные с выплатой процентных платежей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долговым обязательствам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8 874 063,85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24 889 803,00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10 229 000,00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межбюджетных трансфертов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729 000,00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поселений, входящих в состав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14 660 803,00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14 660 803,00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межбюджетных трансфертов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14 523 786,00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Дотации (гранты) на поощрение достижения значений (уровней) показателей для оценки эффективности деятельности должностных лиц муниципальных районов и деятельности органов местного </w:t>
            </w:r>
            <w:r>
              <w:rPr>
                <w:rFonts w:ascii="Times New Roman" w:hAnsi="Times New Roman"/>
                <w:sz w:val="20"/>
                <w:szCs w:val="20"/>
              </w:rPr>
              <w:t>самоуправления муниципальных районов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2 598 000,00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2 598 000,00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направленных на </w:t>
            </w:r>
            <w:r>
              <w:rPr>
                <w:rFonts w:ascii="Times New Roman" w:hAnsi="Times New Roman"/>
                <w:sz w:val="20"/>
                <w:szCs w:val="20"/>
              </w:rPr>
              <w:t>стимулирование объединения муниципальных образований в Республике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1101443270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2 000 000,00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развития территориального общественного самоуправления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1101444070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597 706,00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1101444070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597 706,00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1101444070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597 706,00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поощрение за достижение показателей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257 840,00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257 840,00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257 840,00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8 588 000,00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8 588 000,00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трансферты, направленные на стимулирование объединения сельских поселений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482 240,00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482 240,00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482 240,00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национальных проектов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137 017,00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137 017,00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137 017,00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137 017,00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Контрольно-счетный орган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lastRenderedPageBreak/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E27B00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3 463 385,00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3 463 385,00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rFonts w:ascii="Times New Roman" w:hAnsi="Times New Roman"/>
                <w:b/>
                <w:sz w:val="22"/>
              </w:rPr>
              <w:t>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3 463 385,00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3 463 385,00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3 463 385,00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2 724 990,00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2 724 990,00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2 724 990,00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внешнего муниципального контроля поселений,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703 235,00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583 633,90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583 633,90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119 601,10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119 601,10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за достижение показателей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35 160,00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35 160,00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27B00" w:rsidRDefault="009017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35 160,00</w:t>
            </w:r>
          </w:p>
        </w:tc>
      </w:tr>
      <w:tr w:rsidR="00E2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E27B00" w:rsidRDefault="00E27B00">
            <w:pPr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B00" w:rsidRDefault="0090175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1 083 768 564,94</w:t>
            </w:r>
          </w:p>
        </w:tc>
      </w:tr>
    </w:tbl>
    <w:p w:rsidR="00000000" w:rsidRDefault="00901755"/>
    <w:sectPr w:rsidR="00000000" w:rsidSect="00E27B00"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00" w:rsidRDefault="00E27B00" w:rsidP="00E27B00">
      <w:pPr>
        <w:spacing w:after="0" w:line="240" w:lineRule="auto"/>
      </w:pPr>
      <w:r>
        <w:separator/>
      </w:r>
    </w:p>
  </w:endnote>
  <w:endnote w:type="continuationSeparator" w:id="1">
    <w:p w:rsidR="00E27B00" w:rsidRDefault="00E27B00" w:rsidP="00E2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00" w:rsidRDefault="00E27B00" w:rsidP="00E27B00">
      <w:pPr>
        <w:spacing w:after="0" w:line="240" w:lineRule="auto"/>
      </w:pPr>
      <w:r>
        <w:separator/>
      </w:r>
    </w:p>
  </w:footnote>
  <w:footnote w:type="continuationSeparator" w:id="1">
    <w:p w:rsidR="00E27B00" w:rsidRDefault="00E27B00" w:rsidP="00E2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B00"/>
    <w:rsid w:val="00901755"/>
    <w:rsid w:val="00B4290C"/>
    <w:rsid w:val="00E2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7B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7B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E27B00"/>
  </w:style>
  <w:style w:type="paragraph" w:styleId="a4">
    <w:name w:val="footer"/>
    <w:basedOn w:val="a"/>
    <w:link w:val="a5"/>
    <w:uiPriority w:val="99"/>
    <w:semiHidden/>
    <w:unhideWhenUsed/>
    <w:rsid w:val="00B4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29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14731</Words>
  <Characters>83967</Characters>
  <Application>Microsoft Office Word</Application>
  <DocSecurity>0</DocSecurity>
  <Lines>699</Lines>
  <Paragraphs>197</Paragraphs>
  <ScaleCrop>false</ScaleCrop>
  <Company/>
  <LinksUpToDate>false</LinksUpToDate>
  <CharactersWithSpaces>98501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D_Dol</cp:lastModifiedBy>
  <cp:revision>3</cp:revision>
  <dcterms:created xsi:type="dcterms:W3CDTF">2019-12-25T15:12:00Z</dcterms:created>
  <dcterms:modified xsi:type="dcterms:W3CDTF">2019-12-25T15:14:00Z</dcterms:modified>
</cp:coreProperties>
</file>