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object>
          <v:shape id="ole_rId2" style="width:56.15pt;height:74.25pt" o:ole="">
            <v:imagedata r:id="rId3" o:title=""/>
          </v:shape>
          <o:OLEObject Type="Embed" ProgID="" ShapeID="ole_rId2" DrawAspect="Content" ObjectID="_1838199848" r:id="rId2"/>
        </w:object>
      </w:r>
    </w:p>
    <w:p>
      <w:pPr>
        <w:pStyle w:val="Style30"/>
        <w:spacing w:lineRule="auto" w:line="240" w:before="0" w:after="6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Республика Карелия</w:t>
      </w:r>
    </w:p>
    <w:p>
      <w:pPr>
        <w:pStyle w:val="Style30"/>
        <w:spacing w:lineRule="auto" w:line="240" w:before="0" w:after="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Контрольно-счетный орган</w:t>
      </w:r>
    </w:p>
    <w:p>
      <w:pPr>
        <w:pStyle w:val="NoSpacing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  <w:highlight w:val="white"/>
          <w:lang w:eastAsia="ru-RU"/>
        </w:rPr>
        <w:t>Кондопожского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анализу отчета об исполнении бюджета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4"/>
          <w:lang w:eastAsia="ru-RU"/>
        </w:rPr>
        <w:t>Янишпольского сельского поселения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 1 квартал 2018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25  июля 2018 год                                                                                                        № 64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Анализ отчета об исполнении бюджета </w:t>
      </w:r>
      <w:bookmarkStart w:id="0" w:name="__DdeLink__771_3267674251"/>
      <w:r>
        <w:rPr>
          <w:rFonts w:cs="Times New Roman" w:ascii="Times New Roman" w:hAnsi="Times New Roman"/>
          <w:color w:val="000000"/>
          <w:sz w:val="26"/>
          <w:szCs w:val="26"/>
        </w:rPr>
        <w:t>Я</w:t>
      </w:r>
      <w:bookmarkEnd w:id="0"/>
      <w:r>
        <w:rPr>
          <w:rFonts w:cs="Times New Roman" w:ascii="Times New Roman" w:hAnsi="Times New Roman"/>
          <w:color w:val="000000"/>
          <w:sz w:val="26"/>
          <w:szCs w:val="26"/>
        </w:rPr>
        <w:t xml:space="preserve">нишпольского сельского поселения за 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квартал 2018 года подготовлен Контрольно-счетным органом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в соответствии с Бюджетным Кодексом Российской Федерации,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Решением Совета Кондопожского муниципального района от 18 марта 2015г. № 3 «Об образовании Контрольно-счетного органа Кондопожского муниципального района и утвержденным Положением о Контрольно-счетном органе Кондопожского муниципального района»</w:t>
      </w:r>
      <w:r>
        <w:rPr>
          <w:rFonts w:cs="Times New Roman" w:ascii="Times New Roman" w:hAnsi="Times New Roman"/>
          <w:color w:val="000000"/>
          <w:sz w:val="26"/>
          <w:szCs w:val="26"/>
        </w:rPr>
        <w:t>,  Положением о бюджетном процессе  в муниципальном образовании «Гирвасское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 сельское поселение»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  <w:lang w:val="ru-RU"/>
        </w:rPr>
        <w:t>,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 С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оглашением б/н от 27.12.2017года «О передаче Контрольно-счетному органу 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полномочий контрольно-счетного органа Янишпольского сельского поселения по осуществлению внешнего муниципального финансового контроля», пунктом 1.18. плана работы Контрольно-счетного органа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Кондопожского муниципального района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на 2018 год.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1. Общие сведения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анализа поступления и фактического расходования бюджетных средств Янишпольского сельского поселения использовались  данные отчета об исполнении бюджета Янишпольского сельского поселения 1 квартал 2018 года, за 1 квартал 2017 года;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информация Управления Федерального казначейства по Республике Карелия, полученная в рамках Соглашения «Об информационном взаимодействии между Управлением Федерального казначейства по Республике Карелия и Контрольно-счетным органом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Кондопожского муниципального района </w:t>
      </w:r>
      <w:r>
        <w:rPr>
          <w:rFonts w:cs="Times New Roman" w:ascii="Times New Roman" w:hAnsi="Times New Roman"/>
          <w:sz w:val="26"/>
          <w:szCs w:val="26"/>
          <w:lang w:eastAsia="ru-RU"/>
        </w:rPr>
        <w:t>от 29.03.2018 года; документы, размещенные в источниках официального опубликования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76" w:before="0" w:after="0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со статьей 264.2. Бюджетного Кодекса Российской Федерации (далее – Бюджетный кодекс РФ)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Отчет об исполнении бюджета Янишпольского сельского поселения за 1 квартал 2018 года утвержден Постановлением Администрации Янишпольского сельского поселения от 22.05.2018 № 12 (далее – отчет за 1 квартал 2018 года) и представлен в Контрольно-счетный орган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 26.06.2018 года.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Статьей 36 Бюджетного кодекса РФ установлено обязательное опубликование в средствах массовой информации утвержденных бюджетов и отчетов об их исполнении. </w:t>
      </w:r>
    </w:p>
    <w:p>
      <w:pPr>
        <w:pStyle w:val="Normal"/>
        <w:bidi w:val="0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Согласно п. 8 ст. 38 Устава </w:t>
      </w:r>
      <w:bookmarkStart w:id="1" w:name="__DdeLink__824_1025251145"/>
      <w:bookmarkStart w:id="2" w:name="__DdeLink__1627_4049478386"/>
      <w:r>
        <w:rPr>
          <w:rFonts w:cs="Times New Roman" w:ascii="Times New Roman" w:hAnsi="Times New Roman"/>
          <w:sz w:val="26"/>
          <w:szCs w:val="26"/>
          <w:highlight w:val="white"/>
        </w:rPr>
        <w:t>Я</w:t>
      </w:r>
      <w:bookmarkEnd w:id="2"/>
      <w:r>
        <w:rPr>
          <w:rFonts w:cs="Times New Roman" w:ascii="Times New Roman" w:hAnsi="Times New Roman"/>
          <w:sz w:val="26"/>
          <w:szCs w:val="26"/>
          <w:highlight w:val="white"/>
        </w:rPr>
        <w:t>нишпольского сельского поселения</w:t>
      </w:r>
      <w:bookmarkEnd w:id="1"/>
      <w:r>
        <w:rPr>
          <w:rFonts w:cs="Times New Roman" w:ascii="Times New Roman" w:hAnsi="Times New Roman"/>
          <w:sz w:val="26"/>
          <w:szCs w:val="26"/>
          <w:highlight w:val="white"/>
        </w:rPr>
        <w:t>, и</w:t>
      </w:r>
      <w:r>
        <w:rPr>
          <w:rFonts w:cs="Times New Roman" w:ascii="Times New Roman" w:hAnsi="Times New Roman"/>
          <w:sz w:val="26"/>
          <w:szCs w:val="28"/>
          <w:highlight w:val="white"/>
        </w:rPr>
        <w:t xml:space="preserve">сточником официального опубликования муниципальных правовых актов является периодическое печатное издание, определяемое Советом </w:t>
      </w:r>
      <w:r>
        <w:rPr>
          <w:rFonts w:cs="Times New Roman" w:ascii="Times New Roman" w:hAnsi="Times New Roman"/>
          <w:sz w:val="26"/>
          <w:szCs w:val="26"/>
          <w:highlight w:val="white"/>
        </w:rPr>
        <w:t>Янишпольского сельского поселения</w:t>
      </w:r>
      <w:r>
        <w:rPr>
          <w:rFonts w:cs="Times New Roman" w:ascii="Times New Roman" w:hAnsi="Times New Roman"/>
          <w:sz w:val="26"/>
          <w:szCs w:val="28"/>
          <w:highlight w:val="white"/>
        </w:rPr>
        <w:t>.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С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рок официального опубликования ежеквартальных сведений о ходе исполнения бюджета Янишпольского сельского поселения не установлен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. 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 w:eastAsia="ru-RU"/>
        </w:rPr>
        <w:t xml:space="preserve">На момент проведения данного экспертно-аналитического мероприятия отчет за 1 квартал 2018 года опубликован в официальном периодическом печатном издании  </w:t>
      </w:r>
      <w:r>
        <w:rPr>
          <w:rFonts w:cs="Times New Roman" w:ascii="Times New Roman" w:hAnsi="Times New Roman"/>
          <w:sz w:val="26"/>
          <w:szCs w:val="26"/>
          <w:highlight w:val="white"/>
          <w:lang w:val="ru-RU" w:eastAsia="ru-RU"/>
        </w:rPr>
        <w:t xml:space="preserve">Янишпольского сельского поселения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 xml:space="preserve">«Вестнике </w:t>
      </w:r>
      <w:bookmarkStart w:id="3" w:name="__DdeLink__1627_40494783861"/>
      <w:r>
        <w:rPr>
          <w:rFonts w:cs="Times New Roman" w:ascii="Times New Roman" w:hAnsi="Times New Roman"/>
          <w:sz w:val="26"/>
          <w:szCs w:val="26"/>
          <w:highlight w:val="white"/>
          <w:lang w:val="ru-RU" w:eastAsia="ru-RU"/>
        </w:rPr>
        <w:t>Я</w:t>
      </w:r>
      <w:bookmarkEnd w:id="3"/>
      <w:r>
        <w:rPr>
          <w:rFonts w:cs="Times New Roman" w:ascii="Times New Roman" w:hAnsi="Times New Roman"/>
          <w:sz w:val="26"/>
          <w:szCs w:val="26"/>
          <w:highlight w:val="white"/>
          <w:lang w:val="ru-RU" w:eastAsia="ru-RU"/>
        </w:rPr>
        <w:t xml:space="preserve">нишпольского сельского поселения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>» от 23 мая 2018 года № 5 (139).</w:t>
      </w:r>
    </w:p>
    <w:p>
      <w:pPr>
        <w:pStyle w:val="Normal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2. Анализ исполнения бюджета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анализа исполнения бюджета установлено следующее: </w:t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Бюджет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Янишпольского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утвержден Решением Совета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Янишпольского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от 12.12.2017 года № 96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 бюджете Янишпольского сельского поселения на 2018 год и на плановый период 2019 и 2020 годов</w:t>
      </w:r>
      <w:r>
        <w:rPr>
          <w:rFonts w:cs="Times New Roman" w:ascii="Times New Roman" w:hAnsi="Times New Roman"/>
          <w:sz w:val="26"/>
          <w:szCs w:val="26"/>
        </w:rPr>
        <w:t xml:space="preserve">» (далее - Решение о бюджете).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Решением о бюджете, бюджет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Янишпольского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на 2018 год утвержден по доходам в сумме 6 765,42 тыс.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рублей,</w:t>
      </w:r>
      <w:r>
        <w:rPr>
          <w:rFonts w:cs="Times New Roman" w:ascii="Times New Roman" w:hAnsi="Times New Roman"/>
          <w:sz w:val="26"/>
          <w:szCs w:val="26"/>
        </w:rPr>
        <w:t xml:space="preserve"> по расходам в сумме  6 872,99 тыс.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рублей</w:t>
      </w:r>
      <w:r>
        <w:rPr>
          <w:rFonts w:cs="Times New Roman" w:ascii="Times New Roman" w:hAnsi="Times New Roman"/>
          <w:sz w:val="26"/>
          <w:szCs w:val="26"/>
        </w:rPr>
        <w:t xml:space="preserve">. Дефицит бюджета утвержден в сумме 107,57 тыс. рублей.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 основании уведомлений Администрации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Кондопожского муниципального района увеличен объем межбюджетных трансфертов на сумму 990,47 тыс. рублей и доходы </w:t>
      </w:r>
      <w:r>
        <w:rPr>
          <w:rFonts w:cs="Times New Roman" w:ascii="Times New Roman" w:hAnsi="Times New Roman"/>
          <w:sz w:val="26"/>
          <w:szCs w:val="26"/>
        </w:rPr>
        <w:t>составили 7 755,89 тыс. рублей. На основании Распоряжения Финансового управления Администрации Кондопожского муниципального района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«О внесении изменений в сводную бюджетную роспись расходов бюджета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Янишпольского сельского поселения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на 2018 год» от 28.02.2018 года № 77-р</w:t>
      </w:r>
      <w:r>
        <w:rPr>
          <w:rFonts w:cs="Times New Roman" w:ascii="Times New Roman" w:hAnsi="Times New Roman"/>
          <w:sz w:val="26"/>
          <w:szCs w:val="26"/>
        </w:rPr>
        <w:t xml:space="preserve">  утвержденные бюджетные назначения увеличились и составили по  расходам 7 863,46 тыс. рублей.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Основные параметры исполнения бюджета Янишпольского сельского поселения за 1 квартал 2018 года в сравнении с аналогичным периодом 2017 года приведены в следующей таблице: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right"/>
        <w:rPr/>
      </w:pPr>
      <w:r>
        <w:rPr>
          <w:rFonts w:ascii="Times New Roman" w:hAnsi="Times New Roman"/>
        </w:rPr>
        <w:t>рублей</w:t>
      </w:r>
    </w:p>
    <w:tbl>
      <w:tblPr>
        <w:tblW w:w="9360" w:type="dxa"/>
        <w:jc w:val="left"/>
        <w:tblInd w:w="1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1695"/>
        <w:gridCol w:w="1365"/>
        <w:gridCol w:w="1185"/>
        <w:gridCol w:w="795"/>
        <w:gridCol w:w="1305"/>
        <w:gridCol w:w="1200"/>
        <w:gridCol w:w="794"/>
        <w:gridCol w:w="1020"/>
      </w:tblGrid>
      <w:tr>
        <w:trPr>
          <w:trHeight w:val="900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Наименование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Утвержденные бюджетные назначения на 01.04.2017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01.04.2017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% исполнения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Утвержденные бюджетные назначения на 01.04.2018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01.04.2018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% исполнения 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отклонение (гр.6 - гр.3)</w:t>
            </w:r>
          </w:p>
        </w:tc>
      </w:tr>
      <w:tr>
        <w:trPr>
          <w:trHeight w:val="57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</w:tr>
      <w:tr>
        <w:trPr>
          <w:trHeight w:val="35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1. Доходы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9539,25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1455,54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15,3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7755,89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1501,63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19,4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46,1</w:t>
            </w:r>
          </w:p>
        </w:tc>
      </w:tr>
      <w:tr>
        <w:trPr>
          <w:trHeight w:val="701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3467,27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654,67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18,9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3930,42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708,29 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18,0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53,6</w:t>
            </w:r>
          </w:p>
        </w:tc>
      </w:tr>
      <w:tr>
        <w:trPr>
          <w:trHeight w:val="524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6071,98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800,87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13,2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3825,47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793,34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20,7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-7,5</w:t>
            </w:r>
          </w:p>
        </w:tc>
      </w:tr>
      <w:tr>
        <w:trPr>
          <w:trHeight w:val="35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2. Расходы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9651,25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1406,99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14,6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7863,46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1469,92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18,7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62,9</w:t>
            </w:r>
          </w:p>
        </w:tc>
      </w:tr>
      <w:tr>
        <w:trPr>
          <w:trHeight w:val="92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-112,00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48,55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-107,57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31,72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-16,8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 состоянию на 1 апреля 2018 года в бюджет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Янишпольского сельского поселения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поступило всего доходов в сумме 1 501,63 тыс. </w:t>
      </w:r>
      <w:r>
        <w:rPr>
          <w:rFonts w:cs="Times New Roman" w:ascii="Times New Roman" w:hAnsi="Times New Roman"/>
          <w:sz w:val="26"/>
          <w:szCs w:val="26"/>
        </w:rPr>
        <w:t>рублей или 19,4 процента от утвержденных годовых назначений (7 755,89 тыс. рублей), в том числе: налоговые и неналоговые доходы в сумме 708,29 тыс. рублей или 18,0 процентов от плановых назначений; безвозмездные поступления составили 793,34 тыс. рублей или 20,7 процента от плановых назначений.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целом доходов по сравнению с соответствующим периодом прошлого года получено больше н</w:t>
      </w:r>
      <w:r>
        <w:rPr>
          <w:rFonts w:cs="Times New Roman" w:ascii="Times New Roman" w:hAnsi="Times New Roman"/>
          <w:sz w:val="26"/>
          <w:szCs w:val="26"/>
          <w:highlight w:val="white"/>
        </w:rPr>
        <w:t>а 46,1 тыс.</w:t>
      </w:r>
      <w:r>
        <w:rPr>
          <w:rFonts w:cs="Times New Roman" w:ascii="Times New Roman" w:hAnsi="Times New Roman"/>
          <w:sz w:val="26"/>
          <w:szCs w:val="26"/>
        </w:rPr>
        <w:t xml:space="preserve"> рублей, в том числе за счет налоговых и   неналоговых   доходов  на 53,6 тыс. рублей, в то же время безвозмездных  поступлений в 1 квартале 2018  поступило   на  7,5  тыс. рублей меньше чем за аналогичный период прошлого года.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В общей сумме поступивших доходов по состоянию на 01.04.2018 года налоговые и неналоговые доходы составляют – 47,2 процента, безвозмездные поступления – 52,8 процента.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Исполнение бюджета Янишпольского сельского поселения по доходам за 1 квартал 2018 года в сравнении с аналогичным периодом 2017 года приведено в Приложении № 1.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Анализ структуры налоговых и</w:t>
      </w:r>
      <w:r>
        <w:rPr>
          <w:rFonts w:cs="Times New Roman" w:ascii="Times New Roman" w:hAnsi="Times New Roman"/>
          <w:sz w:val="26"/>
          <w:szCs w:val="26"/>
        </w:rPr>
        <w:t xml:space="preserve"> неналоговых доходов бюджета Янишпольского сельского поселения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за 1 квартал 2018 года </w:t>
      </w:r>
      <w:r>
        <w:rPr>
          <w:rFonts w:cs="Times New Roman" w:ascii="Times New Roman" w:hAnsi="Times New Roman"/>
          <w:sz w:val="26"/>
          <w:szCs w:val="26"/>
        </w:rPr>
        <w:t xml:space="preserve">по основным видам и группам налогов показал, что наибольший удельный вес в общем объеме поступивших доходов бюджета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приходится на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highlight w:val="white"/>
          <w:u w:val="none"/>
          <w:em w:val="none"/>
        </w:rPr>
        <w:t xml:space="preserve"> налоги на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highlight w:val="white"/>
          <w:u w:val="none"/>
          <w:em w:val="none"/>
        </w:rPr>
        <w:t>имущество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— </w:t>
      </w:r>
      <w:r>
        <w:rPr>
          <w:rFonts w:cs="Times New Roman" w:ascii="Times New Roman" w:hAnsi="Times New Roman"/>
          <w:sz w:val="26"/>
          <w:szCs w:val="26"/>
          <w:highlight w:val="white"/>
        </w:rPr>
        <w:t>17,5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процента, или </w:t>
      </w:r>
      <w:r>
        <w:rPr>
          <w:rFonts w:cs="Times New Roman" w:ascii="Times New Roman" w:hAnsi="Times New Roman"/>
          <w:sz w:val="26"/>
          <w:szCs w:val="26"/>
          <w:highlight w:val="white"/>
        </w:rPr>
        <w:t>37,1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  <w:highlight w:val="white"/>
        </w:rPr>
        <w:t>а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в общем объеме налоговых и неналоговых доходов бюджета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Поступления налогов на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highlight w:val="white"/>
          <w:u w:val="none"/>
          <w:em w:val="none"/>
        </w:rPr>
        <w:t xml:space="preserve">имущество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за 1 квартал текущего года составили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263,02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тыс.  или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12,4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процента от плановых назначений. По сравнению с 1 кварталом 2017 года поступления увеличились на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6,07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тыс. рублей.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Налоги на доходы физических лиц </w:t>
      </w:r>
      <w:bookmarkStart w:id="4" w:name="__DdeLink__3118_805788400"/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составляют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9,7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процента от общей суммы доходов бюджета, по сравнению с аналогичным периодом прошлого года, поступления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увеличились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на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22,71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тыс. рублей и составили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145,55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тыс. рублей или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21,6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процент</w:t>
      </w:r>
      <w:bookmarkEnd w:id="4"/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а от плановых назначений.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Д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оходы от использования имущества, находящегося в государственной и муниципальной собственности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поступили в бюджет Янишпольского сельского поселения в размере 26,41 тыс. рублей, что составляет 25 процентов от плановых показателей,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18"/>
          <w:u w:val="none"/>
          <w:em w:val="none"/>
        </w:rPr>
        <w:t xml:space="preserve">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удельный вес в общем объеме поступивших доходов составил 1,8 процента.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Поступления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един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ого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сельскохозяйственн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ого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налог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планировались на 2018 год в размере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100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,0 тыс. рублей., получено доходов в 1 квартале 2018г.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51,75 тыс. рублей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и составило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51,8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процента от плановых назначений, что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свидетельствует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о некачественном планировании.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сравнении с аналогичным периодом прошлого года установлено снижение налоговых и неналоговых доходов по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highlight w:val="white"/>
          <w:u w:val="none"/>
          <w:em w:val="none"/>
        </w:rPr>
        <w:t>налог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highlight w:val="white"/>
          <w:u w:val="none"/>
          <w:em w:val="none"/>
        </w:rPr>
        <w:t>ам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highlight w:val="white"/>
          <w:u w:val="none"/>
          <w:em w:val="none"/>
        </w:rPr>
        <w:t xml:space="preserve"> на товары (работы, услуги) реализуемые на территории РФ</w:t>
      </w:r>
      <w:r>
        <w:rPr>
          <w:rFonts w:cs="Times New Roman" w:ascii="Times New Roman" w:hAnsi="Times New Roman"/>
          <w:sz w:val="26"/>
          <w:szCs w:val="26"/>
        </w:rPr>
        <w:t xml:space="preserve">, за 1 квартал 2018 года поступило </w:t>
      </w:r>
      <w:r>
        <w:rPr>
          <w:rFonts w:cs="Times New Roman" w:ascii="Times New Roman" w:hAnsi="Times New Roman"/>
          <w:sz w:val="26"/>
          <w:szCs w:val="26"/>
        </w:rPr>
        <w:t>221,55</w:t>
      </w:r>
      <w:r>
        <w:rPr>
          <w:rFonts w:cs="Times New Roman" w:ascii="Times New Roman" w:hAnsi="Times New Roman"/>
          <w:sz w:val="26"/>
          <w:szCs w:val="26"/>
        </w:rPr>
        <w:t xml:space="preserve"> тыс. рублей, или 24,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процента от годовых плановых назначений, что на </w:t>
      </w:r>
      <w:r>
        <w:rPr>
          <w:rFonts w:cs="Times New Roman" w:ascii="Times New Roman" w:hAnsi="Times New Roman"/>
          <w:sz w:val="26"/>
          <w:szCs w:val="26"/>
        </w:rPr>
        <w:t>11,85</w:t>
      </w:r>
      <w:r>
        <w:rPr>
          <w:rFonts w:cs="Times New Roman" w:ascii="Times New Roman" w:hAnsi="Times New Roman"/>
          <w:sz w:val="26"/>
          <w:szCs w:val="26"/>
        </w:rPr>
        <w:t xml:space="preserve"> тыс. рублей </w:t>
      </w:r>
      <w:r>
        <w:rPr>
          <w:rFonts w:cs="Times New Roman" w:ascii="Times New Roman" w:hAnsi="Times New Roman"/>
          <w:sz w:val="26"/>
          <w:szCs w:val="26"/>
        </w:rPr>
        <w:t>ниже</w:t>
      </w:r>
      <w:r>
        <w:rPr>
          <w:rFonts w:cs="Times New Roman" w:ascii="Times New Roman" w:hAnsi="Times New Roman"/>
          <w:sz w:val="26"/>
          <w:szCs w:val="26"/>
        </w:rPr>
        <w:t xml:space="preserve"> чем за аналогичный период прошлого года, удельный вес в общем объеме поступивших доходов составляет </w:t>
      </w:r>
      <w:r>
        <w:rPr>
          <w:rFonts w:cs="Times New Roman" w:ascii="Times New Roman" w:hAnsi="Times New Roman"/>
          <w:sz w:val="26"/>
          <w:szCs w:val="26"/>
        </w:rPr>
        <w:t>14,8</w:t>
      </w:r>
      <w:r>
        <w:rPr>
          <w:rFonts w:cs="Times New Roman" w:ascii="Times New Roman" w:hAnsi="Times New Roman"/>
          <w:sz w:val="26"/>
          <w:szCs w:val="26"/>
        </w:rPr>
        <w:t xml:space="preserve"> процента.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Доходы от оказания платных услуг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в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1 квартал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е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2018 года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не поступали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 долю безвозмездных поступлений приходится </w:t>
      </w:r>
      <w:r>
        <w:rPr>
          <w:rFonts w:cs="Times New Roman" w:ascii="Times New Roman" w:hAnsi="Times New Roman"/>
          <w:sz w:val="26"/>
          <w:szCs w:val="26"/>
        </w:rPr>
        <w:t>52,8</w:t>
      </w:r>
      <w:r>
        <w:rPr>
          <w:rFonts w:cs="Times New Roman" w:ascii="Times New Roman" w:hAnsi="Times New Roman"/>
          <w:sz w:val="26"/>
          <w:szCs w:val="26"/>
        </w:rPr>
        <w:t xml:space="preserve"> процента в общем объеме доходов, поступивших в бюджет по состоянию на 1 апреля 2018 года, сумма поступлений составила </w:t>
      </w:r>
      <w:r>
        <w:rPr>
          <w:rFonts w:cs="Times New Roman" w:ascii="Times New Roman" w:hAnsi="Times New Roman"/>
          <w:sz w:val="26"/>
          <w:szCs w:val="26"/>
        </w:rPr>
        <w:t>793,34</w:t>
      </w:r>
      <w:r>
        <w:rPr>
          <w:rFonts w:cs="Times New Roman" w:ascii="Times New Roman" w:hAnsi="Times New Roman"/>
          <w:sz w:val="26"/>
          <w:szCs w:val="26"/>
        </w:rPr>
        <w:t xml:space="preserve"> тыс. рублей, в том числе за счет безвозмездных поступлений от других бюджетов бюджетной системы Российской Федерации в сумме </w:t>
      </w:r>
      <w:r>
        <w:rPr>
          <w:rFonts w:cs="Times New Roman" w:ascii="Times New Roman" w:hAnsi="Times New Roman"/>
          <w:sz w:val="26"/>
          <w:szCs w:val="26"/>
        </w:rPr>
        <w:t>717,34</w:t>
      </w:r>
      <w:r>
        <w:rPr>
          <w:rFonts w:cs="Times New Roman" w:ascii="Times New Roman" w:hAnsi="Times New Roman"/>
          <w:sz w:val="26"/>
          <w:szCs w:val="26"/>
        </w:rPr>
        <w:t xml:space="preserve"> тыс. рублей или </w:t>
      </w:r>
      <w:r>
        <w:rPr>
          <w:rFonts w:cs="Times New Roman" w:ascii="Times New Roman" w:hAnsi="Times New Roman"/>
          <w:sz w:val="26"/>
          <w:szCs w:val="26"/>
        </w:rPr>
        <w:t>18,8</w:t>
      </w:r>
      <w:r>
        <w:rPr>
          <w:rFonts w:cs="Times New Roman" w:ascii="Times New Roman" w:hAnsi="Times New Roman"/>
          <w:sz w:val="26"/>
          <w:szCs w:val="26"/>
        </w:rPr>
        <w:t xml:space="preserve"> процента от плановых назначений. Общий объем безвозмездных поступлений по сравнению с аналогичным периодом прошлого года </w:t>
      </w:r>
      <w:r>
        <w:rPr>
          <w:rFonts w:cs="Times New Roman" w:ascii="Times New Roman" w:hAnsi="Times New Roman"/>
          <w:sz w:val="26"/>
          <w:szCs w:val="26"/>
        </w:rPr>
        <w:t>снизился</w:t>
      </w:r>
      <w:r>
        <w:rPr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cs="Times New Roman" w:ascii="Times New Roman" w:hAnsi="Times New Roman"/>
          <w:sz w:val="26"/>
          <w:szCs w:val="26"/>
        </w:rPr>
        <w:t>7,53</w:t>
      </w:r>
      <w:r>
        <w:rPr>
          <w:rFonts w:cs="Times New Roman" w:ascii="Times New Roman" w:hAnsi="Times New Roman"/>
          <w:sz w:val="26"/>
          <w:szCs w:val="26"/>
        </w:rPr>
        <w:t xml:space="preserve"> тыс. рублей.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Расходы бюджета Янишпольского сельского поселения по состоянию на 01.04.2018 года составили 1 4</w:t>
      </w:r>
      <w:r>
        <w:rPr>
          <w:rFonts w:cs="Times New Roman" w:ascii="Times New Roman" w:hAnsi="Times New Roman"/>
          <w:sz w:val="26"/>
          <w:szCs w:val="26"/>
        </w:rPr>
        <w:t>69,92</w:t>
      </w:r>
      <w:r>
        <w:rPr>
          <w:rFonts w:cs="Times New Roman" w:ascii="Times New Roman" w:hAnsi="Times New Roman"/>
          <w:sz w:val="26"/>
          <w:szCs w:val="26"/>
        </w:rPr>
        <w:t xml:space="preserve"> тыс. рублей или </w:t>
      </w:r>
      <w:r>
        <w:rPr>
          <w:rFonts w:cs="Times New Roman" w:ascii="Times New Roman" w:hAnsi="Times New Roman"/>
          <w:sz w:val="26"/>
          <w:szCs w:val="26"/>
        </w:rPr>
        <w:t>18,7</w:t>
      </w:r>
      <w:r>
        <w:rPr>
          <w:rFonts w:cs="Times New Roman" w:ascii="Times New Roman" w:hAnsi="Times New Roman"/>
          <w:sz w:val="26"/>
          <w:szCs w:val="26"/>
        </w:rPr>
        <w:t xml:space="preserve"> процента от утвержденных бюджетных назначений на 2018 год. По сравнению с исполнением бюджета за 1 квартал прошлого года в целом расходы Янишпольского сельского поселения увеличились на </w:t>
      </w:r>
      <w:r>
        <w:rPr>
          <w:rFonts w:cs="Times New Roman" w:ascii="Times New Roman" w:hAnsi="Times New Roman"/>
          <w:sz w:val="26"/>
          <w:szCs w:val="26"/>
        </w:rPr>
        <w:t>62,93</w:t>
      </w:r>
      <w:r>
        <w:rPr>
          <w:rFonts w:cs="Times New Roman" w:ascii="Times New Roman" w:hAnsi="Times New Roman"/>
          <w:sz w:val="26"/>
          <w:szCs w:val="26"/>
        </w:rPr>
        <w:t xml:space="preserve"> тыс. рублей.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Анализ исполнения расходов за 1 квартал 2018года по разделам функциональной классификации  расходов приведен в следующей  таблице: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тысяч рублей</w:t>
      </w:r>
    </w:p>
    <w:tbl>
      <w:tblPr>
        <w:tblW w:w="946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465"/>
        <w:gridCol w:w="840"/>
        <w:gridCol w:w="1073"/>
        <w:gridCol w:w="1012"/>
        <w:gridCol w:w="1053"/>
        <w:gridCol w:w="852"/>
        <w:gridCol w:w="1169"/>
      </w:tblGrid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Наименование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Исполнено на 01.04.2017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Удельный вес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Исполнено на 01.04.2018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Удельный вес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Отклонения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 xml:space="preserve">Общегосударственные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вопросы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354,24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465,49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111,25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11,54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18,54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7,00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184,78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154,57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30,21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133,57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175,02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41,45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 xml:space="preserve">Культура 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и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 xml:space="preserve"> кинематография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704,39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642,84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61,55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13,46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13,46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5,00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Расходы всего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1406,99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1469,92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62,93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17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данным анализом  наибольший удельный вес в структуре расходов за 1 квартал 2018 года занимают расходы на </w:t>
      </w:r>
      <w:r>
        <w:rPr>
          <w:rFonts w:cs="Times New Roman" w:ascii="Times New Roman" w:hAnsi="Times New Roman"/>
          <w:sz w:val="26"/>
          <w:szCs w:val="26"/>
        </w:rPr>
        <w:t>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ультур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у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и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кинематографи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ю</w:t>
      </w:r>
      <w:r>
        <w:rPr>
          <w:rFonts w:cs="Times New Roman" w:ascii="Times New Roman" w:hAnsi="Times New Roman"/>
          <w:sz w:val="26"/>
          <w:szCs w:val="26"/>
        </w:rPr>
        <w:t xml:space="preserve"> – 4</w:t>
      </w:r>
      <w:r>
        <w:rPr>
          <w:rFonts w:cs="Times New Roman" w:ascii="Times New Roman" w:hAnsi="Times New Roman"/>
          <w:sz w:val="26"/>
          <w:szCs w:val="26"/>
        </w:rPr>
        <w:t>3,7</w:t>
      </w:r>
      <w:r>
        <w:rPr>
          <w:rFonts w:cs="Times New Roman" w:ascii="Times New Roman" w:hAnsi="Times New Roman"/>
          <w:sz w:val="26"/>
          <w:szCs w:val="26"/>
        </w:rPr>
        <w:t xml:space="preserve"> процента. В аналогичном периоде 2017 года наибольший удельный вес </w:t>
      </w:r>
      <w:r>
        <w:rPr>
          <w:rFonts w:cs="Times New Roman" w:ascii="Times New Roman" w:hAnsi="Times New Roman"/>
          <w:sz w:val="26"/>
          <w:szCs w:val="26"/>
        </w:rPr>
        <w:t>также</w:t>
      </w:r>
      <w:r>
        <w:rPr>
          <w:rFonts w:cs="Times New Roman" w:ascii="Times New Roman" w:hAnsi="Times New Roman"/>
          <w:sz w:val="26"/>
          <w:szCs w:val="26"/>
        </w:rPr>
        <w:t xml:space="preserve">  занимали расходы на </w:t>
      </w:r>
      <w:bookmarkStart w:id="5" w:name="__DdeLink__1660_4027912445"/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культуру и кинематографию</w:t>
      </w:r>
      <w:bookmarkEnd w:id="5"/>
      <w:r>
        <w:rPr>
          <w:rFonts w:cs="Times New Roman" w:ascii="Times New Roman" w:hAnsi="Times New Roman"/>
          <w:sz w:val="26"/>
          <w:szCs w:val="26"/>
        </w:rPr>
        <w:t xml:space="preserve"> – </w:t>
      </w:r>
      <w:r>
        <w:rPr>
          <w:rFonts w:cs="Times New Roman" w:ascii="Times New Roman" w:hAnsi="Times New Roman"/>
          <w:sz w:val="26"/>
          <w:szCs w:val="26"/>
        </w:rPr>
        <w:t>50,1</w:t>
      </w:r>
      <w:r>
        <w:rPr>
          <w:rFonts w:cs="Times New Roman" w:ascii="Times New Roman" w:hAnsi="Times New Roman"/>
          <w:sz w:val="26"/>
          <w:szCs w:val="26"/>
        </w:rPr>
        <w:t xml:space="preserve"> процента.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Общегосударственные </w:t>
      </w:r>
      <w:r>
        <w:rPr>
          <w:rFonts w:cs="Times New Roman" w:ascii="Times New Roman" w:hAnsi="Times New Roman"/>
          <w:sz w:val="26"/>
          <w:szCs w:val="26"/>
        </w:rPr>
        <w:t>вопросы</w:t>
      </w:r>
      <w:r>
        <w:rPr>
          <w:rFonts w:cs="Times New Roman" w:ascii="Times New Roman" w:hAnsi="Times New Roman"/>
          <w:sz w:val="26"/>
          <w:szCs w:val="26"/>
        </w:rPr>
        <w:t xml:space="preserve"> составили </w:t>
      </w:r>
      <w:r>
        <w:rPr>
          <w:rFonts w:cs="Times New Roman" w:ascii="Times New Roman" w:hAnsi="Times New Roman"/>
          <w:sz w:val="26"/>
          <w:szCs w:val="26"/>
        </w:rPr>
        <w:t>31,7</w:t>
      </w:r>
      <w:r>
        <w:rPr>
          <w:rFonts w:cs="Times New Roman" w:ascii="Times New Roman" w:hAnsi="Times New Roman"/>
          <w:sz w:val="26"/>
          <w:szCs w:val="26"/>
        </w:rPr>
        <w:t xml:space="preserve"> процента в общем объеме расходов за 1 квартал 2018 года, расходы на 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ациональную оборону</w:t>
      </w:r>
      <w:r>
        <w:rPr>
          <w:rFonts w:cs="Times New Roman" w:ascii="Times New Roman" w:hAnsi="Times New Roman"/>
          <w:sz w:val="26"/>
          <w:szCs w:val="26"/>
        </w:rPr>
        <w:t xml:space="preserve"> – </w:t>
      </w:r>
      <w:r>
        <w:rPr>
          <w:rFonts w:cs="Times New Roman" w:ascii="Times New Roman" w:hAnsi="Times New Roman"/>
          <w:sz w:val="26"/>
          <w:szCs w:val="26"/>
        </w:rPr>
        <w:t>1,3</w:t>
      </w:r>
      <w:r>
        <w:rPr>
          <w:rFonts w:cs="Times New Roman" w:ascii="Times New Roman" w:hAnsi="Times New Roman"/>
          <w:sz w:val="26"/>
          <w:szCs w:val="26"/>
        </w:rPr>
        <w:t xml:space="preserve"> процента, на 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ациональную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экономику</w:t>
      </w:r>
      <w:r>
        <w:rPr>
          <w:rFonts w:cs="Times New Roman" w:ascii="Times New Roman" w:hAnsi="Times New Roman"/>
          <w:sz w:val="26"/>
          <w:szCs w:val="26"/>
        </w:rPr>
        <w:t xml:space="preserve"> — </w:t>
      </w:r>
      <w:r>
        <w:rPr>
          <w:rFonts w:cs="Times New Roman" w:ascii="Times New Roman" w:hAnsi="Times New Roman"/>
          <w:sz w:val="26"/>
          <w:szCs w:val="26"/>
        </w:rPr>
        <w:t>10,5</w:t>
      </w:r>
      <w:r>
        <w:rPr>
          <w:rFonts w:cs="Times New Roman" w:ascii="Times New Roman" w:hAnsi="Times New Roman"/>
          <w:sz w:val="26"/>
          <w:szCs w:val="26"/>
        </w:rPr>
        <w:t xml:space="preserve"> процента, на ж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илищно-коммунальное хозяйство —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11,9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процента, </w:t>
      </w:r>
      <w:r>
        <w:rPr>
          <w:rFonts w:cs="Times New Roman" w:ascii="Times New Roman" w:hAnsi="Times New Roman"/>
          <w:sz w:val="26"/>
          <w:szCs w:val="26"/>
        </w:rPr>
        <w:t xml:space="preserve">на социальную политику – </w:t>
      </w:r>
      <w:r>
        <w:rPr>
          <w:rFonts w:cs="Times New Roman" w:ascii="Times New Roman" w:hAnsi="Times New Roman"/>
          <w:sz w:val="26"/>
          <w:szCs w:val="26"/>
        </w:rPr>
        <w:t>0,9</w:t>
      </w:r>
      <w:r>
        <w:rPr>
          <w:rFonts w:cs="Times New Roman" w:ascii="Times New Roman" w:hAnsi="Times New Roman"/>
          <w:sz w:val="26"/>
          <w:szCs w:val="26"/>
        </w:rPr>
        <w:t xml:space="preserve"> процента. 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Анализ исполнение бюджета Янишпольского сельского поселения по расходам за 1 квартал 2018 года по разделам, подразделам бюджетной классификации в сравнении с аналогичным периодом 2017 года, приведены в Приложение № 2.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При среднем уровне исполнения плановых назначений по расходам в размере </w:t>
      </w:r>
      <w:r>
        <w:rPr>
          <w:rFonts w:cs="Times New Roman" w:ascii="Times New Roman" w:hAnsi="Times New Roman"/>
          <w:sz w:val="26"/>
          <w:szCs w:val="26"/>
          <w:highlight w:val="white"/>
        </w:rPr>
        <w:t>18,7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процента, уровень исполнения по разделам сложился от </w:t>
      </w:r>
      <w:r>
        <w:rPr>
          <w:rFonts w:cs="Times New Roman" w:ascii="Times New Roman" w:hAnsi="Times New Roman"/>
          <w:sz w:val="26"/>
          <w:szCs w:val="26"/>
          <w:highlight w:val="white"/>
        </w:rPr>
        <w:t>15,2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процента («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ультур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и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 xml:space="preserve"> кинематографи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я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») до </w:t>
      </w:r>
      <w:r>
        <w:rPr>
          <w:rFonts w:cs="Times New Roman" w:ascii="Times New Roman" w:hAnsi="Times New Roman"/>
          <w:sz w:val="26"/>
          <w:szCs w:val="26"/>
          <w:highlight w:val="white"/>
        </w:rPr>
        <w:t>27,2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процента («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 xml:space="preserve">Общегосударственные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вопросы</w:t>
      </w:r>
      <w:r>
        <w:rPr>
          <w:rFonts w:cs="Times New Roman" w:ascii="Times New Roman" w:hAnsi="Times New Roman"/>
          <w:sz w:val="26"/>
          <w:szCs w:val="26"/>
          <w:highlight w:val="white"/>
        </w:rPr>
        <w:t>»).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При анализе исполнения бюджета по расходам в 1 квартале 2018 года объем расходования средств увеличился в сравнении с аналогичным периодом прошлого года.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Наибольшее увеличение расходов в сравнении с аналогичным периодом прошлого года, сложилось по разделу «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 xml:space="preserve">Общегосударственные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вопросы</w:t>
      </w:r>
      <w:r>
        <w:rPr>
          <w:rFonts w:cs="Times New Roman" w:ascii="Times New Roman" w:hAnsi="Times New Roman"/>
          <w:sz w:val="26"/>
          <w:szCs w:val="26"/>
          <w:highlight w:val="white"/>
        </w:rPr>
        <w:t>» подраздел «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Ф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» на сумму </w:t>
      </w:r>
      <w:r>
        <w:rPr>
          <w:rFonts w:cs="Times New Roman" w:ascii="Times New Roman" w:hAnsi="Times New Roman"/>
          <w:sz w:val="26"/>
          <w:szCs w:val="26"/>
          <w:highlight w:val="white"/>
        </w:rPr>
        <w:t>60,41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тыс. рублей.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В сторону уменьшения наибольшее отклонение исполнения расходов сложилось по разделу «К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ультура и кинематография</w:t>
      </w:r>
      <w:r>
        <w:rPr>
          <w:rFonts w:cs="Times New Roman" w:ascii="Times New Roman" w:hAnsi="Times New Roman"/>
          <w:bCs/>
          <w:sz w:val="26"/>
          <w:szCs w:val="26"/>
          <w:highlight w:val="white"/>
        </w:rPr>
        <w:t xml:space="preserve">» подраздел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«Культура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» </w:t>
      </w:r>
      <w:r>
        <w:rPr>
          <w:rFonts w:cs="Times New Roman" w:ascii="Times New Roman" w:hAnsi="Times New Roman"/>
          <w:bCs/>
          <w:sz w:val="26"/>
          <w:szCs w:val="26"/>
          <w:highlight w:val="white"/>
        </w:rPr>
        <w:t xml:space="preserve">на сумму </w:t>
      </w:r>
      <w:r>
        <w:rPr>
          <w:rFonts w:cs="Times New Roman" w:ascii="Times New Roman" w:hAnsi="Times New Roman"/>
          <w:bCs/>
          <w:sz w:val="26"/>
          <w:szCs w:val="26"/>
          <w:highlight w:val="white"/>
        </w:rPr>
        <w:t>61,55</w:t>
      </w:r>
      <w:r>
        <w:rPr>
          <w:rFonts w:cs="Times New Roman" w:ascii="Times New Roman" w:hAnsi="Times New Roman"/>
          <w:bCs/>
          <w:sz w:val="26"/>
          <w:szCs w:val="26"/>
          <w:highlight w:val="white"/>
        </w:rPr>
        <w:t xml:space="preserve"> тыс. рублей.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</w:t>
      </w:r>
    </w:p>
    <w:p>
      <w:pPr>
        <w:pStyle w:val="ListParagraph"/>
        <w:spacing w:lineRule="auto" w:line="276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Исполнение бюджета Янишпольского сельского поселения за </w:t>
      </w:r>
      <w:r>
        <w:rPr>
          <w:rFonts w:cs="Times New Roman" w:ascii="Times New Roman" w:hAnsi="Times New Roman"/>
          <w:sz w:val="26"/>
          <w:szCs w:val="26"/>
          <w:highlight w:val="white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квартал 2018 года в разрезе сгруппированных по видам расходов представлено ниже: </w:t>
      </w:r>
    </w:p>
    <w:p>
      <w:pPr>
        <w:pStyle w:val="ListParagraph"/>
        <w:spacing w:lineRule="auto" w:line="276" w:before="0" w:after="0"/>
        <w:ind w:left="0" w:firstLine="737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ListParagraph"/>
        <w:spacing w:lineRule="auto" w:line="240" w:before="0" w:after="0"/>
        <w:ind w:left="0" w:firstLine="737"/>
        <w:contextualSpacing/>
        <w:jc w:val="right"/>
        <w:rPr/>
      </w:pPr>
      <w:r>
        <w:rPr>
          <w:rFonts w:cs="Times New Roman" w:ascii="Times New Roman" w:hAnsi="Times New Roman"/>
          <w:sz w:val="18"/>
          <w:szCs w:val="18"/>
          <w:highlight w:val="white"/>
        </w:rPr>
        <w:t>тыс. рублей</w:t>
      </w:r>
    </w:p>
    <w:tbl>
      <w:tblPr>
        <w:tblW w:w="9360" w:type="dxa"/>
        <w:jc w:val="left"/>
        <w:tblInd w:w="7" w:type="dxa"/>
        <w:tblBorders>
          <w:top w:val="single" w:sz="2" w:space="0" w:color="00000A"/>
          <w:left w:val="single" w:sz="2" w:space="0" w:color="00000A"/>
          <w:bottom w:val="single" w:sz="2" w:space="0" w:color="000001"/>
          <w:right w:val="single" w:sz="2" w:space="0" w:color="00000A"/>
          <w:insideH w:val="single" w:sz="2" w:space="0" w:color="000001"/>
          <w:insideV w:val="single" w:sz="2" w:space="0" w:color="00000A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892"/>
        <w:gridCol w:w="3356"/>
        <w:gridCol w:w="1122"/>
        <w:gridCol w:w="1069"/>
        <w:gridCol w:w="1082"/>
        <w:gridCol w:w="918"/>
        <w:gridCol w:w="920"/>
      </w:tblGrid>
      <w:tr>
        <w:trPr>
          <w:trHeight w:val="79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Группы видов расходов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Наименование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Утверждено на 01.04.2018г.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Доля в общих расходах (%)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Исполнение за 1 квартал 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Доля в общих расходах (%)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% исполнения</w:t>
            </w:r>
          </w:p>
        </w:tc>
      </w:tr>
      <w:tr>
        <w:trPr>
          <w:trHeight w:val="121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2807,77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35,7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698,95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24,9</w:t>
            </w:r>
          </w:p>
        </w:tc>
      </w:tr>
      <w:tr>
        <w:trPr>
          <w:trHeight w:val="596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4846,62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61,6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743,64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15,3</w:t>
            </w:r>
          </w:p>
        </w:tc>
      </w:tr>
      <w:tr>
        <w:trPr>
          <w:trHeight w:val="596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80,80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13,46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50,37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0,6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12,59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25,0</w:t>
            </w:r>
          </w:p>
        </w:tc>
      </w:tr>
      <w:tr>
        <w:trPr>
          <w:trHeight w:val="371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77,90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1,0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1,27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1,6</w:t>
            </w:r>
          </w:p>
        </w:tc>
      </w:tr>
      <w:tr>
        <w:trPr>
          <w:trHeight w:val="371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7863,46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1469,92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18,7</w:t>
            </w:r>
          </w:p>
        </w:tc>
      </w:tr>
    </w:tbl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ListParagraph"/>
        <w:spacing w:lineRule="auto" w:line="276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Анализ данных показывает, что исполнение бюджета в анализируемом периоде в разрезе видов расходов ниже квартальных значений (25%) </w:t>
      </w:r>
      <w:r>
        <w:rPr>
          <w:rFonts w:cs="Times New Roman" w:ascii="Times New Roman" w:hAnsi="Times New Roman"/>
          <w:sz w:val="26"/>
          <w:szCs w:val="26"/>
          <w:highlight w:val="white"/>
        </w:rPr>
        <w:t>по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</w:t>
      </w:r>
      <w:r>
        <w:rPr>
          <w:rFonts w:cs="Times New Roman" w:ascii="Times New Roman" w:hAnsi="Times New Roman"/>
          <w:sz w:val="26"/>
          <w:szCs w:val="26"/>
          <w:highlight w:val="white"/>
        </w:rPr>
        <w:t>з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акупка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м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 товаров, работ и услуг для муниципальных нужд, 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по с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оциально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му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 обеспечени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ю, по 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 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и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ны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м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 бюджетны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м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 ассигнования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м</w:t>
      </w:r>
      <w:r>
        <w:rPr>
          <w:rFonts w:cs="Times New Roman" w:ascii="Times New Roman" w:hAnsi="Times New Roman"/>
          <w:sz w:val="26"/>
          <w:szCs w:val="26"/>
          <w:highlight w:val="white"/>
        </w:rPr>
        <w:t>. Наибольшую долю в общих расходах занимает з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акупка товаров, работ и услуг для муниципальных нужд 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50,6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 процента.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 итогам 1 квартала 2018 года бюджет Янишпольского сельского поселения исполнен с профицитом в сумме  </w:t>
      </w:r>
      <w:r>
        <w:rPr>
          <w:rFonts w:cs="Times New Roman" w:ascii="Times New Roman" w:hAnsi="Times New Roman"/>
          <w:sz w:val="26"/>
          <w:szCs w:val="26"/>
        </w:rPr>
        <w:t>31,72</w:t>
      </w:r>
      <w:r>
        <w:rPr>
          <w:rFonts w:cs="Times New Roman" w:ascii="Times New Roman" w:hAnsi="Times New Roman"/>
          <w:sz w:val="26"/>
          <w:szCs w:val="26"/>
        </w:rPr>
        <w:t xml:space="preserve"> тыс. рублей.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  <w:t>3. Анализ бухгалтерской отчетности.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Отчет об исполнении бюджета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Янишпольского сельского поселения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за 1 квартал 2018 года сформирован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Согласно Сведениям по дебиторской и кредиторской задолженности (ф.0503169) дебиторская задолженность на 01.04.2018 года по сравнению с данными на 01.01.2018 года, 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снизилась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251,82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 и составила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2 622,47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рублей, просроченная дебиторская задолженность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также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снизилась на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238,05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 и составила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2 622,47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рублей.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Д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ебиторская задолженность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за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1 квартал 2018 года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в сравнении с 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аналогичным периодом прошлого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значительно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выше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88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%.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Кредиторская задолженность на 01.04.2018 года составила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1084,43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рублей, на 01.01.2018 года задолженность составляла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976,28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 кредиторская задолженность возросла на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108,15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рублей.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К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редиторская задолженность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в 1 квартале 2018 года ниже чем в 1 квартале 2017 года на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2,8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%.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0" w:right="0" w:hanging="397"/>
        <w:contextualSpacing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6"/>
          <w:szCs w:val="26"/>
          <w:u w:val="none"/>
          <w:lang w:eastAsia="ru-RU"/>
        </w:rPr>
        <w:tab/>
        <w:tab/>
        <w:tab/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В ходе анализа проверено соблюдение общих требований по составлению и формированию бюджетной отчетности, установленных вышеуказанной инструкцией. Нарушений не установлено.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При сверке показателей о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тчета за 1 квартал 2018 года (форма 0503117) с </w:t>
      </w:r>
      <w:r>
        <w:rPr>
          <w:rFonts w:cs="Times New Roman" w:ascii="Times New Roman" w:hAnsi="Times New Roman"/>
          <w:sz w:val="26"/>
          <w:szCs w:val="26"/>
          <w:highlight w:val="white"/>
        </w:rPr>
        <w:t>показателями отчета по поступлениям и выбытию (форма 0503151), представленным Управлением Федерального казначейства по Республике Карелия, по состоянию на 01.04.2018 года, расхождений не установлено.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</w:rPr>
        <w:t>Замечаний и недостатков, допущенных при формировании бюджетной отчетности, повлиявших на ее достоверность  не установлено.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sz w:val="26"/>
          <w:szCs w:val="26"/>
        </w:rPr>
        <w:t>Выводы: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6"/>
          <w:szCs w:val="26"/>
        </w:rPr>
        <w:t xml:space="preserve">По результатам проверки отчёта об исполнении бюджета </w:t>
      </w:r>
      <w:bookmarkStart w:id="6" w:name="__DdeLink__998_1168077530"/>
      <w:r>
        <w:rPr>
          <w:rFonts w:ascii="Times New Roman" w:hAnsi="Times New Roman"/>
          <w:sz w:val="26"/>
          <w:szCs w:val="26"/>
        </w:rPr>
        <w:t>Янишпольского сельского поселения за 1 квартал 2018 года</w:t>
      </w:r>
      <w:bookmarkEnd w:id="6"/>
      <w:r>
        <w:rPr>
          <w:rFonts w:ascii="Times New Roman" w:hAnsi="Times New Roman"/>
          <w:sz w:val="26"/>
          <w:szCs w:val="26"/>
        </w:rPr>
        <w:t xml:space="preserve"> Контрольно-счётный орган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считает, что отчёт об исполнении бюджета Янишпольского сельского поселения в представленном виде является  достоверным</w:t>
      </w:r>
      <w:r>
        <w:rPr>
          <w:rStyle w:val="Style17"/>
          <w:rFonts w:ascii="Times New Roman" w:hAnsi="Times New Roman"/>
          <w:sz w:val="26"/>
          <w:szCs w:val="26"/>
        </w:rPr>
        <w:t>.</w:t>
      </w:r>
    </w:p>
    <w:p>
      <w:pPr>
        <w:pStyle w:val="Normal"/>
        <w:numPr>
          <w:ilvl w:val="0"/>
          <w:numId w:val="1"/>
        </w:numPr>
        <w:tabs>
          <w:tab w:val="left" w:pos="1140" w:leader="none"/>
        </w:tabs>
        <w:spacing w:lineRule="auto" w:line="276" w:before="0" w:after="0"/>
        <w:jc w:val="both"/>
        <w:rPr/>
      </w:pPr>
      <w:r>
        <w:rPr>
          <w:rStyle w:val="Style17"/>
          <w:rFonts w:ascii="Times New Roman" w:hAnsi="Times New Roman"/>
          <w:sz w:val="26"/>
          <w:szCs w:val="26"/>
        </w:rPr>
        <w:t>Представленный отчет соответствует нормам действующего законодательства.</w:t>
      </w:r>
    </w:p>
    <w:p>
      <w:pPr>
        <w:pStyle w:val="Normal"/>
        <w:numPr>
          <w:ilvl w:val="0"/>
          <w:numId w:val="1"/>
        </w:numPr>
        <w:tabs>
          <w:tab w:val="left" w:pos="1140" w:leader="none"/>
        </w:tabs>
        <w:spacing w:lineRule="auto" w:line="276" w:before="0" w:after="0"/>
        <w:jc w:val="both"/>
        <w:rPr/>
      </w:pPr>
      <w:r>
        <w:rPr>
          <w:rStyle w:val="Style17"/>
          <w:rFonts w:ascii="Times New Roman" w:hAnsi="Times New Roman"/>
          <w:sz w:val="26"/>
          <w:szCs w:val="26"/>
        </w:rPr>
        <w:t xml:space="preserve">Отчет об исполнении бюджета Янишпольского сельского поселения за 1 квартал 2018 года опубликован в </w:t>
      </w:r>
      <w:r>
        <w:rPr>
          <w:rStyle w:val="Style17"/>
          <w:rFonts w:cs="Times New Roman" w:ascii="Times New Roman" w:hAnsi="Times New Roman"/>
          <w:sz w:val="26"/>
          <w:szCs w:val="26"/>
          <w:lang w:val="ru-RU" w:eastAsia="ru-RU"/>
        </w:rPr>
        <w:t xml:space="preserve">периодическом печатном издании.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40" w:leader="none"/>
        </w:tabs>
        <w:spacing w:lineRule="auto" w:line="276" w:before="0" w:after="0"/>
        <w:ind w:left="720" w:hanging="0"/>
        <w:jc w:val="both"/>
        <w:rPr>
          <w:rStyle w:val="Style17"/>
          <w:rFonts w:ascii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cs="Times New Roman" w:ascii="Times New Roman" w:hAnsi="Times New Roman"/>
          <w:sz w:val="26"/>
          <w:szCs w:val="26"/>
          <w:highlight w:val="yellow"/>
          <w:lang w:eastAsia="ru-RU"/>
        </w:rPr>
      </w:r>
    </w:p>
    <w:p>
      <w:pPr>
        <w:pStyle w:val="Normal"/>
        <w:tabs>
          <w:tab w:val="left" w:pos="630" w:leader="none"/>
        </w:tabs>
        <w:spacing w:lineRule="auto" w:line="276" w:before="0" w:after="4"/>
        <w:ind w:firstLine="57"/>
        <w:jc w:val="both"/>
        <w:rPr>
          <w:rStyle w:val="Style17"/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76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Предлагаемые представления и /или предписания: </w:t>
      </w:r>
      <w:r>
        <w:rPr>
          <w:rFonts w:cs="Times New Roman" w:ascii="Times New Roman" w:hAnsi="Times New Roman"/>
          <w:bCs/>
          <w:sz w:val="26"/>
          <w:szCs w:val="26"/>
        </w:rPr>
        <w:t>нет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ListParagraph"/>
        <w:spacing w:lineRule="auto" w:line="276" w:before="0" w:after="46"/>
        <w:ind w:left="0" w:firstLine="567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 xml:space="preserve">Направить Анализ отчета об исполнении бюджета </w:t>
      </w:r>
      <w:r>
        <w:rPr>
          <w:rFonts w:cs="Times New Roman" w:ascii="Times New Roman" w:hAnsi="Times New Roman"/>
          <w:iCs/>
          <w:sz w:val="26"/>
          <w:szCs w:val="26"/>
          <w:highlight w:val="white"/>
          <w:shd w:fill="FFFFFF" w:val="clear"/>
          <w:lang w:eastAsia="ru-RU"/>
        </w:rPr>
        <w:t>Янишпольского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за 1 квартал 2018года в адрес:</w:t>
      </w:r>
    </w:p>
    <w:p>
      <w:pPr>
        <w:pStyle w:val="Normal"/>
        <w:bidi w:val="0"/>
        <w:spacing w:lineRule="auto" w:line="276" w:before="113" w:after="45"/>
        <w:ind w:firstLine="68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cs="Times New Roman" w:ascii="Times New Roman" w:hAnsi="Times New Roman"/>
          <w:iCs/>
          <w:sz w:val="26"/>
          <w:szCs w:val="26"/>
          <w:highlight w:val="white"/>
          <w:shd w:fill="FFFFFF" w:val="clear"/>
          <w:lang w:eastAsia="ru-RU"/>
        </w:rPr>
        <w:t>Янишпольского сельского поселения</w:t>
      </w:r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  <w:lang w:eastAsia="ru-RU"/>
        </w:rPr>
        <w:t>.</w:t>
      </w:r>
    </w:p>
    <w:p>
      <w:pPr>
        <w:pStyle w:val="Normal"/>
        <w:spacing w:lineRule="auto" w:line="276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4"/>
        <w:ind w:right="14" w:hanging="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Председател</w:t>
      </w:r>
      <w:r>
        <w:rPr>
          <w:rFonts w:cs="Times New Roman" w:ascii="Times New Roman" w:hAnsi="Times New Roman"/>
          <w:sz w:val="26"/>
          <w:szCs w:val="26"/>
          <w:highlight w:val="white"/>
        </w:rPr>
        <w:t>ь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Контрольно-счетного органа</w:t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bookmarkStart w:id="7" w:name="__DdeLink__505_4059367422"/>
      <w:r>
        <w:rPr>
          <w:rFonts w:cs="Times New Roman" w:ascii="Times New Roman" w:hAnsi="Times New Roman"/>
          <w:sz w:val="26"/>
          <w:szCs w:val="26"/>
          <w:highlight w:val="white"/>
        </w:rPr>
        <w:t xml:space="preserve"> </w:t>
      </w:r>
      <w:bookmarkEnd w:id="7"/>
      <w:r>
        <w:rPr>
          <w:rFonts w:cs="Times New Roman" w:ascii="Times New Roman" w:hAnsi="Times New Roman"/>
          <w:sz w:val="26"/>
          <w:szCs w:val="26"/>
          <w:highlight w:val="white"/>
        </w:rPr>
        <w:t xml:space="preserve">                                             </w:t>
      </w:r>
      <w:r>
        <w:rPr>
          <w:rFonts w:cs="Times New Roman" w:ascii="Times New Roman" w:hAnsi="Times New Roman"/>
          <w:sz w:val="26"/>
          <w:szCs w:val="26"/>
          <w:highlight w:val="white"/>
        </w:rPr>
        <w:t>Е.А. Горошкина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                  </w:t>
      </w:r>
    </w:p>
    <w:p>
      <w:pPr>
        <w:pStyle w:val="Normal"/>
        <w:spacing w:lineRule="auto" w:line="276" w:before="0" w:after="4"/>
        <w:ind w:right="14" w:hanging="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/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Инспектор Контрольно-счетного органа</w:t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                                              И.В. Демидова</w:t>
      </w:r>
    </w:p>
    <w:sectPr>
      <w:headerReference w:type="default" r:id="rId4"/>
      <w:footerReference w:type="default" r:id="rId5"/>
      <w:type w:val="nextPage"/>
      <w:pgSz w:w="11906" w:h="16838"/>
      <w:pgMar w:left="1701" w:right="851" w:header="1134" w:top="1460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Текст выноски Знак"/>
    <w:basedOn w:val="DefaultParagraphFont"/>
    <w:uiPriority w:val="99"/>
    <w:qFormat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Style15" w:customStyle="1">
    <w:name w:val="Верхний колонтитул Знак"/>
    <w:basedOn w:val="DefaultParagraphFont"/>
    <w:uiPriority w:val="99"/>
    <w:qFormat/>
    <w:rPr>
      <w:rFonts w:cs="Times New Roman"/>
    </w:rPr>
  </w:style>
  <w:style w:type="character" w:styleId="Style16" w:customStyle="1">
    <w:name w:val="Нижний колонтитул Знак"/>
    <w:basedOn w:val="DefaultParagraphFont"/>
    <w:uiPriority w:val="99"/>
    <w:qFormat/>
    <w:rPr>
      <w:rFonts w:cs="Times New Roman"/>
    </w:rPr>
  </w:style>
  <w:style w:type="character" w:styleId="Style17" w:customStyle="1">
    <w:name w:val="Основной текст Знак"/>
    <w:uiPriority w:val="99"/>
    <w:qFormat/>
    <w:rPr>
      <w:sz w:val="23"/>
      <w:shd w:fill="FFFFFF" w:val="clear"/>
    </w:rPr>
  </w:style>
  <w:style w:type="character" w:styleId="ListLabel14" w:customStyle="1">
    <w:name w:val="ListLabel 14"/>
    <w:uiPriority w:val="99"/>
    <w:qFormat/>
    <w:rPr>
      <w:sz w:val="28"/>
    </w:rPr>
  </w:style>
  <w:style w:type="character" w:styleId="Style18" w:customStyle="1">
    <w:name w:val="Символ нумерации"/>
    <w:uiPriority w:val="99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color w:val="00000A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color w:val="00000A"/>
      <w:sz w:val="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color w:val="00000A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cs="Times New Roman"/>
      <w:color w:val="00000A"/>
      <w:lang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Cambria" w:hAnsi="Cambria" w:eastAsia="Times New Roman" w:cs="Cambria"/>
      <w:color w:val="00000A"/>
      <w:sz w:val="24"/>
      <w:szCs w:val="24"/>
      <w:lang w:eastAsia="en-US"/>
    </w:rPr>
  </w:style>
  <w:style w:type="character" w:styleId="ListLabel15" w:customStyle="1">
    <w:name w:val="ListLabel 15"/>
    <w:uiPriority w:val="99"/>
    <w:qFormat/>
    <w:rsid w:val="00790dda"/>
    <w:rPr/>
  </w:style>
  <w:style w:type="character" w:styleId="ListLabel16" w:customStyle="1">
    <w:name w:val="ListLabel 16"/>
    <w:uiPriority w:val="99"/>
    <w:qFormat/>
    <w:rsid w:val="00790dda"/>
    <w:rPr/>
  </w:style>
  <w:style w:type="character" w:styleId="ListLabel17" w:customStyle="1">
    <w:name w:val="ListLabel 17"/>
    <w:uiPriority w:val="99"/>
    <w:qFormat/>
    <w:rsid w:val="00790dda"/>
    <w:rPr/>
  </w:style>
  <w:style w:type="character" w:styleId="ListLabel18" w:customStyle="1">
    <w:name w:val="ListLabel 18"/>
    <w:uiPriority w:val="99"/>
    <w:qFormat/>
    <w:rsid w:val="00790dda"/>
    <w:rPr/>
  </w:style>
  <w:style w:type="character" w:styleId="ListLabel19" w:customStyle="1">
    <w:name w:val="ListLabel 19"/>
    <w:uiPriority w:val="99"/>
    <w:qFormat/>
    <w:rsid w:val="00790dda"/>
    <w:rPr/>
  </w:style>
  <w:style w:type="character" w:styleId="ListLabel20" w:customStyle="1">
    <w:name w:val="ListLabel 20"/>
    <w:uiPriority w:val="99"/>
    <w:qFormat/>
    <w:rsid w:val="00790dda"/>
    <w:rPr/>
  </w:style>
  <w:style w:type="character" w:styleId="ListLabel21" w:customStyle="1">
    <w:name w:val="ListLabel 21"/>
    <w:uiPriority w:val="99"/>
    <w:qFormat/>
    <w:rsid w:val="00790dda"/>
    <w:rPr/>
  </w:style>
  <w:style w:type="character" w:styleId="ListLabel22" w:customStyle="1">
    <w:name w:val="ListLabel 22"/>
    <w:uiPriority w:val="99"/>
    <w:qFormat/>
    <w:rsid w:val="00790dda"/>
    <w:rPr/>
  </w:style>
  <w:style w:type="character" w:styleId="ListLabel23" w:customStyle="1">
    <w:name w:val="ListLabel 23"/>
    <w:uiPriority w:val="99"/>
    <w:qFormat/>
    <w:rsid w:val="00790dda"/>
    <w:rPr/>
  </w:style>
  <w:style w:type="character" w:styleId="ListLabel24" w:customStyle="1">
    <w:name w:val="ListLabel 24"/>
    <w:uiPriority w:val="99"/>
    <w:qFormat/>
    <w:rsid w:val="00790dda"/>
    <w:rPr/>
  </w:style>
  <w:style w:type="character" w:styleId="ListLabel25" w:customStyle="1">
    <w:name w:val="ListLabel 25"/>
    <w:uiPriority w:val="99"/>
    <w:qFormat/>
    <w:rsid w:val="00790dda"/>
    <w:rPr/>
  </w:style>
  <w:style w:type="character" w:styleId="ListLabel26" w:customStyle="1">
    <w:name w:val="ListLabel 26"/>
    <w:uiPriority w:val="99"/>
    <w:qFormat/>
    <w:rsid w:val="00790dda"/>
    <w:rPr/>
  </w:style>
  <w:style w:type="character" w:styleId="ListLabel27" w:customStyle="1">
    <w:name w:val="ListLabel 27"/>
    <w:uiPriority w:val="99"/>
    <w:qFormat/>
    <w:rsid w:val="00790dda"/>
    <w:rPr/>
  </w:style>
  <w:style w:type="character" w:styleId="ListLabel28" w:customStyle="1">
    <w:name w:val="ListLabel 28"/>
    <w:uiPriority w:val="99"/>
    <w:qFormat/>
    <w:rsid w:val="00790dda"/>
    <w:rPr/>
  </w:style>
  <w:style w:type="character" w:styleId="ListLabel29" w:customStyle="1">
    <w:name w:val="ListLabel 29"/>
    <w:uiPriority w:val="99"/>
    <w:qFormat/>
    <w:rsid w:val="00790dda"/>
    <w:rPr/>
  </w:style>
  <w:style w:type="character" w:styleId="ListLabel30" w:customStyle="1">
    <w:name w:val="ListLabel 30"/>
    <w:uiPriority w:val="99"/>
    <w:qFormat/>
    <w:rsid w:val="00790dda"/>
    <w:rPr/>
  </w:style>
  <w:style w:type="character" w:styleId="ListLabel31" w:customStyle="1">
    <w:name w:val="ListLabel 31"/>
    <w:uiPriority w:val="99"/>
    <w:qFormat/>
    <w:rsid w:val="00790dda"/>
    <w:rPr/>
  </w:style>
  <w:style w:type="character" w:styleId="ListLabel32" w:customStyle="1">
    <w:name w:val="ListLabel 32"/>
    <w:uiPriority w:val="99"/>
    <w:qFormat/>
    <w:rsid w:val="00790dda"/>
    <w:rPr/>
  </w:style>
  <w:style w:type="character" w:styleId="ListLabel33" w:customStyle="1">
    <w:name w:val="ListLabel 33"/>
    <w:uiPriority w:val="99"/>
    <w:qFormat/>
    <w:rsid w:val="00790dda"/>
    <w:rPr/>
  </w:style>
  <w:style w:type="character" w:styleId="ListLabel34" w:customStyle="1">
    <w:name w:val="ListLabel 34"/>
    <w:uiPriority w:val="99"/>
    <w:qFormat/>
    <w:rsid w:val="00790dda"/>
    <w:rPr/>
  </w:style>
  <w:style w:type="character" w:styleId="ListLabel35" w:customStyle="1">
    <w:name w:val="ListLabel 35"/>
    <w:uiPriority w:val="99"/>
    <w:qFormat/>
    <w:rsid w:val="00790dda"/>
    <w:rPr/>
  </w:style>
  <w:style w:type="character" w:styleId="ListLabel36" w:customStyle="1">
    <w:name w:val="ListLabel 36"/>
    <w:uiPriority w:val="99"/>
    <w:qFormat/>
    <w:rsid w:val="00790dda"/>
    <w:rPr/>
  </w:style>
  <w:style w:type="character" w:styleId="ListLabel37" w:customStyle="1">
    <w:name w:val="ListLabel 37"/>
    <w:uiPriority w:val="99"/>
    <w:qFormat/>
    <w:rsid w:val="00790dda"/>
    <w:rPr/>
  </w:style>
  <w:style w:type="character" w:styleId="ListLabel38" w:customStyle="1">
    <w:name w:val="ListLabel 38"/>
    <w:uiPriority w:val="99"/>
    <w:qFormat/>
    <w:rsid w:val="00790dda"/>
    <w:rPr/>
  </w:style>
  <w:style w:type="character" w:styleId="ListLabel39" w:customStyle="1">
    <w:name w:val="ListLabel 39"/>
    <w:uiPriority w:val="99"/>
    <w:qFormat/>
    <w:rsid w:val="00790dda"/>
    <w:rPr/>
  </w:style>
  <w:style w:type="character" w:styleId="ListLabel40" w:customStyle="1">
    <w:name w:val="ListLabel 40"/>
    <w:uiPriority w:val="99"/>
    <w:qFormat/>
    <w:rsid w:val="00790dda"/>
    <w:rPr/>
  </w:style>
  <w:style w:type="character" w:styleId="ListLabel41" w:customStyle="1">
    <w:name w:val="ListLabel 41"/>
    <w:uiPriority w:val="99"/>
    <w:qFormat/>
    <w:rsid w:val="00790dda"/>
    <w:rPr/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d11674"/>
    <w:rPr>
      <w:color w:val="00000A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d11674"/>
    <w:rPr>
      <w:rFonts w:ascii="Times New Roman" w:hAnsi="Times New Roman"/>
      <w:color w:val="00000A"/>
      <w:sz w:val="0"/>
      <w:szCs w:val="0"/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d11674"/>
    <w:rPr>
      <w:color w:val="00000A"/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d11674"/>
    <w:rPr>
      <w:color w:val="00000A"/>
      <w:lang w:eastAsia="en-US"/>
    </w:rPr>
  </w:style>
  <w:style w:type="character" w:styleId="SubtitleChar1" w:customStyle="1">
    <w:name w:val="Subtitle Char1"/>
    <w:basedOn w:val="DefaultParagraphFont"/>
    <w:link w:val="Subtitle"/>
    <w:uiPriority w:val="11"/>
    <w:qFormat/>
    <w:rsid w:val="00d11674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  <w:lang w:eastAsia="en-US"/>
    </w:rPr>
  </w:style>
  <w:style w:type="character" w:styleId="ListLabel42">
    <w:name w:val="ListLabel 42"/>
    <w:qFormat/>
    <w:rPr>
      <w:rFonts w:cs="Times New Roman"/>
      <w:sz w:val="22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  <w:sz w:val="22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sz w:val="22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  <w:sz w:val="22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  <w:sz w:val="22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sz w:val="22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  <w:sz w:val="22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  <w:sz w:val="22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  <w:sz w:val="22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sz w:val="22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  <w:sz w:val="22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  <w:sz w:val="22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  <w:sz w:val="22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  <w:sz w:val="22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  <w:sz w:val="22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  <w:sz w:val="22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ListLabel195">
    <w:name w:val="ListLabel 195"/>
    <w:qFormat/>
    <w:rPr>
      <w:rFonts w:cs="Times New Roman"/>
      <w:sz w:val="22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  <w:sz w:val="22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  <w:sz w:val="22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  <w:sz w:val="22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  <w:sz w:val="22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  <w:sz w:val="22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  <w:sz w:val="22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  <w:sz w:val="22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  <w:sz w:val="22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  <w:sz w:val="22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  <w:sz w:val="22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  <w:sz w:val="22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  <w:sz w:val="22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  <w:sz w:val="22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  <w:sz w:val="22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  <w:sz w:val="22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  <w:sz w:val="22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  <w:sz w:val="22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  <w:sz w:val="22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paragraph" w:styleId="Style20" w:customStyle="1">
    <w:name w:val="Заголовок"/>
    <w:basedOn w:val="Normal"/>
    <w:next w:val="Style21"/>
    <w:uiPriority w:val="99"/>
    <w:qFormat/>
    <w:pPr>
      <w:keepNext w:val="true"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21">
    <w:name w:val="Body Text"/>
    <w:basedOn w:val="Normal"/>
    <w:link w:val="BodyTextChar"/>
    <w:uiPriority w:val="99"/>
    <w:pPr>
      <w:spacing w:lineRule="auto" w:line="288" w:before="0" w:after="140"/>
    </w:pPr>
    <w:rPr/>
  </w:style>
  <w:style w:type="paragraph" w:styleId="Style22">
    <w:name w:val="List"/>
    <w:basedOn w:val="Style21"/>
    <w:uiPriority w:val="99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790dda"/>
    <w:pPr>
      <w:ind w:left="220" w:hanging="220"/>
    </w:pPr>
    <w:rPr/>
  </w:style>
  <w:style w:type="paragraph" w:styleId="Indexheading">
    <w:name w:val="index heading"/>
    <w:basedOn w:val="Normal"/>
    <w:uiPriority w:val="99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pPr>
      <w:widowControl/>
      <w:bidi w:val="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paragraph" w:styleId="Style25" w:customStyle="1">
    <w:name w:val="Знак Знак Знак Знак Знак Знак Знак Знак Знак Знак"/>
    <w:basedOn w:val="Normal"/>
    <w:uiPriority w:val="99"/>
    <w:qFormat/>
    <w:pPr>
      <w:spacing w:lineRule="exact" w:line="24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link w:val="HeaderChar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FooterChar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uiPriority w:val="99"/>
    <w:qFormat/>
    <w:pPr>
      <w:widowControl/>
      <w:bidi w:val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99"/>
    <w:qFormat/>
    <w:pPr>
      <w:spacing w:before="0" w:after="160"/>
      <w:ind w:left="720" w:hanging="0"/>
      <w:contextualSpacing/>
    </w:pPr>
    <w:rPr/>
  </w:style>
  <w:style w:type="paragraph" w:styleId="Style28" w:customStyle="1">
    <w:name w:val="Содержимое таблицы"/>
    <w:basedOn w:val="Normal"/>
    <w:uiPriority w:val="99"/>
    <w:qFormat/>
    <w:pPr/>
    <w:rPr/>
  </w:style>
  <w:style w:type="paragraph" w:styleId="Style29" w:customStyle="1">
    <w:name w:val="Заголовок таблицы"/>
    <w:basedOn w:val="Style28"/>
    <w:uiPriority w:val="99"/>
    <w:qFormat/>
    <w:pPr/>
    <w:rPr/>
  </w:style>
  <w:style w:type="paragraph" w:styleId="Standard" w:customStyle="1">
    <w:name w:val="Standard"/>
    <w:uiPriority w:val="99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Calibri" w:cs="Tahoma"/>
      <w:color w:val="00000A"/>
      <w:kern w:val="0"/>
      <w:sz w:val="24"/>
      <w:szCs w:val="24"/>
      <w:lang w:val="ru-RU" w:eastAsia="zh-CN" w:bidi="ar-SA"/>
    </w:rPr>
  </w:style>
  <w:style w:type="paragraph" w:styleId="Style30">
    <w:name w:val="Subtitle"/>
    <w:basedOn w:val="Normal"/>
    <w:link w:val="SubtitleChar"/>
    <w:uiPriority w:val="99"/>
    <w:qFormat/>
    <w:pPr>
      <w:spacing w:lineRule="auto" w:line="240" w:before="0" w:after="240"/>
    </w:pPr>
    <w:rPr>
      <w:rFonts w:ascii="Cambria" w:hAnsi="Cambria" w:cs="Mangal"/>
      <w:color w:val="404040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3186</TotalTime>
  <Application>LibreOffice/5.4.4.2$Windows_x86 LibreOffice_project/2524958677847fb3bb44820e40380acbe820f960</Application>
  <Pages>8</Pages>
  <Words>2012</Words>
  <Characters>13240</Characters>
  <CharactersWithSpaces>15367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2015-06-01T04:12:00Z</dcterms:created>
  <dc:creator>User</dc:creator>
  <dc:description/>
  <dc:language>ru-RU</dc:language>
  <cp:lastModifiedBy/>
  <cp:lastPrinted>2018-07-11T09:19:13Z</cp:lastPrinted>
  <dcterms:modified xsi:type="dcterms:W3CDTF">2018-07-25T12:07:38Z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