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jc w:val="center"/>
        <w:rPr/>
      </w:pPr>
      <w:r>
        <w:rPr/>
        <w:object>
          <v:shape id="ole_rId2" style="width:56.95pt;height:74.4pt" o:ole="">
            <v:imagedata r:id="rId3" o:title=""/>
          </v:shape>
          <o:OLEObject Type="Embed" ProgID="" ShapeID="ole_rId2" DrawAspect="Content" ObjectID="_1204871417" r:id="rId2"/>
        </w:object>
      </w:r>
    </w:p>
    <w:p>
      <w:pPr>
        <w:pStyle w:val="Style30"/>
        <w:spacing w:lineRule="auto" w:line="240" w:before="0" w:after="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Республика Карелия</w:t>
      </w:r>
    </w:p>
    <w:p>
      <w:pPr>
        <w:pStyle w:val="Style30"/>
        <w:spacing w:lineRule="auto" w:line="240" w:before="0" w:after="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Контрольно-счетный орган</w:t>
      </w:r>
    </w:p>
    <w:p>
      <w:pPr>
        <w:pStyle w:val="NoSpacing"/>
        <w:spacing w:lineRule="auto" w:line="276" w:before="0" w:after="0"/>
        <w:ind w:left="0" w:right="0" w:firstLine="709"/>
        <w:jc w:val="center"/>
        <w:rPr>
          <w:rFonts w:ascii="Times New Roman" w:hAnsi="Times New Roman" w:cs="Times New Roman"/>
          <w:color w:val="00000A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highlight w:val="white"/>
          <w:lang w:eastAsia="ru-RU"/>
        </w:rPr>
        <w:t>Кондопожского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анализу отчета об исполнении бюджета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  <w:lang w:eastAsia="ru-RU"/>
        </w:rPr>
      </w:pPr>
      <w:r>
        <w:rPr>
          <w:rFonts w:cs="Times New Roman" w:ascii="Times New Roman" w:hAnsi="Times New Roman"/>
          <w:b/>
          <w:sz w:val="28"/>
          <w:szCs w:val="24"/>
          <w:lang w:eastAsia="ru-RU"/>
        </w:rPr>
        <w:t>Кяппесельгского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1 квартал 2018 года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12  июля 2018 год                                                                                                        №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60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Анализ отчета об исполнении бюджета Кяппесельгского сельского поселения за 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 квартал 2018 года подготовлен Контрольно-счетным органом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 в соответствии с Бюджетным Кодексом Российской Федерации,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cs="Times New Roman" w:ascii="Times New Roman" w:hAnsi="Times New Roman"/>
          <w:sz w:val="26"/>
          <w:szCs w:val="26"/>
          <w:highlight w:val="white"/>
        </w:rPr>
        <w:t>Решением Совета Кондопожского муниципального района от 18 марта 2015г. № 3 «Об образовании Контрольно-счетного органа Кондопожского муниципального района и утвержденным Положением о Контрольно-счетном органе Кондопожского муниципального района»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color w:val="052635"/>
          <w:sz w:val="26"/>
          <w:szCs w:val="26"/>
          <w:highlight w:val="white"/>
        </w:rPr>
        <w:t>С</w:t>
      </w:r>
      <w:r>
        <w:rPr>
          <w:rFonts w:cs="Times New Roman" w:ascii="Times New Roman" w:hAnsi="Times New Roman"/>
          <w:color w:val="052635"/>
          <w:sz w:val="26"/>
          <w:szCs w:val="26"/>
        </w:rPr>
        <w:t xml:space="preserve">оглашением б/н от 27.12.2017года «О передаче Контрольно-счетному органу  </w:t>
      </w:r>
      <w:r>
        <w:rPr>
          <w:rFonts w:cs="Times New Roman" w:ascii="Times New Roman" w:hAnsi="Times New Roman"/>
          <w:color w:val="052635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color w:val="052635"/>
          <w:sz w:val="26"/>
          <w:szCs w:val="26"/>
        </w:rPr>
        <w:t xml:space="preserve"> полномочий контрольно-счетного органа Кяппесельгского сельского поселения по осуществлению внешнего муниципального финансового контроля»,</w:t>
      </w:r>
      <w:r>
        <w:rPr>
          <w:rFonts w:cs="Times New Roman" w:ascii="Times New Roman" w:hAnsi="Times New Roman"/>
          <w:sz w:val="26"/>
          <w:szCs w:val="26"/>
        </w:rPr>
        <w:t xml:space="preserve"> пунктом 1.15. плана работы Контрольно-счетного органа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Кондопожского муниципального района </w:t>
      </w:r>
      <w:r>
        <w:rPr>
          <w:rFonts w:cs="Times New Roman" w:ascii="Times New Roman" w:hAnsi="Times New Roman"/>
          <w:sz w:val="26"/>
          <w:szCs w:val="26"/>
        </w:rPr>
        <w:t xml:space="preserve">на 2018 год.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сведения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анализа поступления и фактического расходования бюджетных средств Кяппесельгского сельского поселения использовались  данные отчета об исполнении бюджета Кяппесельгского сельского поселения 1 квартал 2018 года, за 1 квартал 2017 года;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информация Управления Федерального казначейства по Республике Карелия, полученная в рамках Соглашения «Об информационном взаимодействии между Управлением Федерального казначейства по Республике Карелия и Контрольно-счетным органом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Кондопожского муниципального района </w:t>
      </w:r>
      <w:r>
        <w:rPr>
          <w:rFonts w:cs="Times New Roman" w:ascii="Times New Roman" w:hAnsi="Times New Roman"/>
          <w:sz w:val="26"/>
          <w:szCs w:val="26"/>
          <w:lang w:eastAsia="ru-RU"/>
        </w:rPr>
        <w:t>от 29.03.2018 года; документы, размещенные в источниках официального опубликования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76" w:before="0" w:after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со статьей 264.2. Бюджетного Кодекса Российской Федерации (далее – Бюджетный кодекс РФ)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Отчет об исполнении бюджета Кяппесельгского сельского поселения за 1 квартал 2018 года утвержден Постановлением Администрации Кяппесельгского сельского поселения от 18.06.2018 № 9 (далее – отчет за 1 квартал 2018 года) и представлен в Контрольно-счетный орган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 20.06.2018 года.</w:t>
      </w:r>
    </w:p>
    <w:p>
      <w:pPr>
        <w:pStyle w:val="ConsPlusNormal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Статьей 36 Бюджетного кодекса РФ установлено обязательное опубликование в средствах массовой информации утвержденных бюджетов и отчетов об их исполнении. 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Согласно п. 8 ст. 38 Устава Кяппесельгского сельского поселения,  </w:t>
      </w:r>
      <w:bookmarkStart w:id="0" w:name="__DdeLink__1977_1126185587"/>
      <w:r>
        <w:rPr>
          <w:rFonts w:cs="Times New Roman" w:ascii="Times New Roman" w:hAnsi="Times New Roman"/>
          <w:sz w:val="26"/>
          <w:szCs w:val="26"/>
          <w:highlight w:val="white"/>
        </w:rPr>
        <w:t>и</w:t>
      </w:r>
      <w:r>
        <w:rPr>
          <w:rFonts w:cs="Times New Roman" w:ascii="Times New Roman" w:hAnsi="Times New Roman"/>
          <w:sz w:val="26"/>
          <w:szCs w:val="28"/>
          <w:highlight w:val="white"/>
        </w:rPr>
        <w:t>сточником официального опубликования муниципальных правовых актов</w:t>
      </w:r>
      <w:bookmarkEnd w:id="0"/>
      <w:r>
        <w:rPr>
          <w:rFonts w:cs="Times New Roman" w:ascii="Times New Roman" w:hAnsi="Times New Roman"/>
          <w:sz w:val="26"/>
          <w:szCs w:val="28"/>
          <w:highlight w:val="white"/>
        </w:rPr>
        <w:t xml:space="preserve"> является периодическое печатное издание, определяемое Советом </w:t>
      </w:r>
      <w:r>
        <w:rPr>
          <w:rFonts w:cs="Times New Roman" w:ascii="Times New Roman" w:hAnsi="Times New Roman"/>
          <w:sz w:val="26"/>
          <w:szCs w:val="26"/>
          <w:highlight w:val="white"/>
        </w:rPr>
        <w:t>Кяппесельгского сельского поселения</w:t>
      </w:r>
      <w:r>
        <w:rPr>
          <w:rFonts w:cs="Times New Roman" w:ascii="Times New Roman" w:hAnsi="Times New Roman"/>
          <w:sz w:val="26"/>
          <w:szCs w:val="28"/>
          <w:highlight w:val="white"/>
        </w:rPr>
        <w:t>.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С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рок официального опубликования ежеквартальных сведений о ходе исполнения бюджета Кяппесельгского сельского поселения не установлен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. 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Решением Совета  Кяппесельгского сельского поселения от </w:t>
      </w:r>
      <w:r>
        <w:rPr>
          <w:rFonts w:cs="Times New Roman" w:ascii="Times New Roman" w:hAnsi="Times New Roman"/>
          <w:sz w:val="26"/>
          <w:szCs w:val="26"/>
          <w:lang w:eastAsia="ru-RU"/>
        </w:rPr>
        <w:t>24</w:t>
      </w:r>
      <w:r>
        <w:rPr>
          <w:rFonts w:cs="Times New Roman" w:ascii="Times New Roman" w:hAnsi="Times New Roman"/>
          <w:sz w:val="26"/>
          <w:szCs w:val="26"/>
          <w:lang w:eastAsia="ru-RU"/>
        </w:rPr>
        <w:t>.0</w:t>
      </w:r>
      <w:r>
        <w:rPr>
          <w:rFonts w:cs="Times New Roman" w:ascii="Times New Roman" w:hAnsi="Times New Roman"/>
          <w:sz w:val="26"/>
          <w:szCs w:val="26"/>
          <w:lang w:eastAsia="ru-RU"/>
        </w:rPr>
        <w:t>4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.2009 года </w:t>
      </w:r>
      <w:r>
        <w:rPr>
          <w:rFonts w:cs="Times New Roman" w:ascii="Times New Roman" w:hAnsi="Times New Roman"/>
          <w:sz w:val="26"/>
          <w:szCs w:val="26"/>
          <w:lang w:eastAsia="ru-RU"/>
        </w:rPr>
        <w:t>32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сессии 1 созыва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и</w:t>
      </w:r>
      <w:r>
        <w:rPr>
          <w:rFonts w:cs="Times New Roman" w:ascii="Times New Roman" w:hAnsi="Times New Roman"/>
          <w:sz w:val="26"/>
          <w:szCs w:val="28"/>
          <w:highlight w:val="white"/>
          <w:lang w:eastAsia="ru-RU"/>
        </w:rPr>
        <w:t xml:space="preserve">сточником официального опубликования муниципальных правовых актов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учрежден официальный информационный бюллетень </w:t>
      </w:r>
      <w:bookmarkStart w:id="1" w:name="__DdeLink__716_703368539"/>
      <w:r>
        <w:rPr>
          <w:rFonts w:cs="Times New Roman" w:ascii="Times New Roman" w:hAnsi="Times New Roman"/>
          <w:sz w:val="26"/>
          <w:szCs w:val="26"/>
          <w:lang w:eastAsia="ru-RU"/>
        </w:rPr>
        <w:t>«Кяппесельгский Вестник»</w:t>
      </w:r>
      <w:bookmarkEnd w:id="1"/>
      <w:r>
        <w:rPr>
          <w:rFonts w:cs="Times New Roman" w:ascii="Times New Roman" w:hAnsi="Times New Roman"/>
          <w:sz w:val="26"/>
          <w:szCs w:val="26"/>
          <w:lang w:val="ru-RU" w:eastAsia="ru-RU"/>
        </w:rPr>
        <w:t>.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На момент проведения данного экспертно-аналитического мероприятия отчет за 1 квартал 2018 года опубликован в «Кяппесельгском Вестнике» от </w:t>
      </w:r>
      <w:r>
        <w:rPr>
          <w:rFonts w:cs="Times New Roman" w:ascii="Times New Roman" w:hAnsi="Times New Roman"/>
          <w:sz w:val="26"/>
          <w:szCs w:val="26"/>
          <w:lang w:eastAsia="ru-RU"/>
        </w:rPr>
        <w:t>18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июня 2018 года № </w:t>
      </w:r>
      <w:r>
        <w:rPr>
          <w:rFonts w:cs="Times New Roman" w:ascii="Times New Roman" w:hAnsi="Times New Roman"/>
          <w:sz w:val="26"/>
          <w:szCs w:val="26"/>
          <w:lang w:eastAsia="ru-RU"/>
        </w:rPr>
        <w:t>6 (105)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2. Анализ исполнения бюджета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анализа исполнения бюджета установлено следующее: </w:t>
      </w:r>
    </w:p>
    <w:p>
      <w:pPr>
        <w:pStyle w:val="NoSpacing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Бюджет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Кяппесельгского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утвержден Решением Совета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Кяппесельгского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от 28.11.2017 года № 1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 бюджете Кяппесельгского сельского поселения на 2018 год и на плановый период 2019 и 2020 годов</w:t>
      </w:r>
      <w:r>
        <w:rPr>
          <w:rFonts w:cs="Times New Roman" w:ascii="Times New Roman" w:hAnsi="Times New Roman"/>
          <w:sz w:val="26"/>
          <w:szCs w:val="26"/>
        </w:rPr>
        <w:t xml:space="preserve">» (далее - Решение о бюджете).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Решением о бюджете, бюджет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Кяппесельгского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на 2018 год утвержден по доходам в сумме 4 407,42 тыс.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рублей,</w:t>
      </w:r>
      <w:r>
        <w:rPr>
          <w:rFonts w:cs="Times New Roman" w:ascii="Times New Roman" w:hAnsi="Times New Roman"/>
          <w:sz w:val="26"/>
          <w:szCs w:val="26"/>
        </w:rPr>
        <w:t xml:space="preserve"> по расходам в сумме  4 407,42 тыс.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рублей</w:t>
      </w:r>
      <w:r>
        <w:rPr>
          <w:rFonts w:cs="Times New Roman" w:ascii="Times New Roman" w:hAnsi="Times New Roman"/>
          <w:sz w:val="26"/>
          <w:szCs w:val="26"/>
        </w:rPr>
        <w:t xml:space="preserve">.   Дефицит бюджета утвержден в сумме  0,00 тыс. рублей.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 основании уведомлений Администрации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Кондопожского муниципального района увеличен объем межбюджетных трансфертов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и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доходы </w:t>
      </w:r>
      <w:r>
        <w:rPr>
          <w:rFonts w:cs="Times New Roman" w:ascii="Times New Roman" w:hAnsi="Times New Roman"/>
          <w:sz w:val="26"/>
          <w:szCs w:val="26"/>
        </w:rPr>
        <w:t xml:space="preserve">составили </w:t>
      </w:r>
      <w:r>
        <w:rPr>
          <w:rFonts w:cs="Times New Roman" w:ascii="Times New Roman" w:hAnsi="Times New Roman"/>
          <w:sz w:val="26"/>
          <w:szCs w:val="26"/>
        </w:rPr>
        <w:t>4800,25</w:t>
      </w:r>
      <w:r>
        <w:rPr>
          <w:rFonts w:cs="Times New Roman" w:ascii="Times New Roman" w:hAnsi="Times New Roman"/>
          <w:sz w:val="26"/>
          <w:szCs w:val="26"/>
        </w:rPr>
        <w:t xml:space="preserve"> тыс. рублей. На основании Распоряжения Финансового управления Администрации Кондопожского муниципального района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«О внесении изменений в сводную бюджетную роспись расходов бюджета Кяппесельгского сельского поселения на 2018 год» от 28.02.2018 года № 7</w:t>
      </w:r>
      <w:r>
        <w:rPr>
          <w:rFonts w:cs="Times New Roman" w:ascii="Times New Roman" w:hAnsi="Times New Roman"/>
          <w:sz w:val="26"/>
          <w:szCs w:val="26"/>
          <w:lang w:eastAsia="ru-RU"/>
        </w:rPr>
        <w:t>6</w:t>
      </w:r>
      <w:r>
        <w:rPr>
          <w:rFonts w:cs="Times New Roman" w:ascii="Times New Roman" w:hAnsi="Times New Roman"/>
          <w:sz w:val="26"/>
          <w:szCs w:val="26"/>
          <w:lang w:eastAsia="ru-RU"/>
        </w:rPr>
        <w:t>-р</w:t>
      </w:r>
      <w:r>
        <w:rPr>
          <w:rFonts w:cs="Times New Roman" w:ascii="Times New Roman" w:hAnsi="Times New Roman"/>
          <w:sz w:val="26"/>
          <w:szCs w:val="26"/>
        </w:rPr>
        <w:t xml:space="preserve">  утвержденные бюджетные назначения увеличились </w:t>
      </w:r>
      <w:r>
        <w:rPr>
          <w:rFonts w:cs="Times New Roman" w:ascii="Times New Roman" w:hAnsi="Times New Roman"/>
          <w:sz w:val="26"/>
          <w:szCs w:val="26"/>
        </w:rPr>
        <w:t xml:space="preserve">на 392,83 тыс. рублей </w:t>
      </w:r>
      <w:r>
        <w:rPr>
          <w:rFonts w:cs="Times New Roman" w:ascii="Times New Roman" w:hAnsi="Times New Roman"/>
          <w:sz w:val="26"/>
          <w:szCs w:val="26"/>
        </w:rPr>
        <w:t xml:space="preserve">и составили по по расходам </w:t>
      </w:r>
      <w:r>
        <w:rPr>
          <w:rFonts w:cs="Times New Roman" w:ascii="Times New Roman" w:hAnsi="Times New Roman"/>
          <w:sz w:val="26"/>
          <w:szCs w:val="26"/>
        </w:rPr>
        <w:t>4800,25</w:t>
      </w:r>
      <w:r>
        <w:rPr>
          <w:rFonts w:cs="Times New Roman" w:ascii="Times New Roman" w:hAnsi="Times New Roman"/>
          <w:sz w:val="26"/>
          <w:szCs w:val="26"/>
        </w:rPr>
        <w:t xml:space="preserve"> тыс. рублей.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Основные параметры исполнения бюджета Кяппесельгского сельского поселения за 1 квартал 2018 года в сравнении с аналогичным периодом 2017 года приведены в следующей таблице: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рублей</w:t>
      </w:r>
    </w:p>
    <w:tbl>
      <w:tblPr>
        <w:tblW w:w="9360" w:type="dxa"/>
        <w:jc w:val="left"/>
        <w:tblInd w:w="1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1695"/>
        <w:gridCol w:w="1361"/>
        <w:gridCol w:w="1185"/>
        <w:gridCol w:w="794"/>
        <w:gridCol w:w="1305"/>
        <w:gridCol w:w="1200"/>
        <w:gridCol w:w="795"/>
        <w:gridCol w:w="1024"/>
      </w:tblGrid>
      <w:tr>
        <w:trPr>
          <w:trHeight w:val="900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Наименование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Утвержденные бюджетные назначения на 01.04.2017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01.04.2017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% исполнения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Утвержденные бюджетные назначения на 01.04.2018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01.04.2018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% исполнения 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отклонение (гр.6 - гр.3)</w:t>
            </w:r>
          </w:p>
        </w:tc>
      </w:tr>
      <w:tr>
        <w:trPr>
          <w:trHeight w:val="57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</w:tr>
      <w:tr>
        <w:trPr>
          <w:trHeight w:val="35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1. Доходы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6078,24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1083,34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17,8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4800,25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1216,95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25,4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133,6</w:t>
            </w:r>
          </w:p>
        </w:tc>
      </w:tr>
      <w:tr>
        <w:trPr>
          <w:trHeight w:val="701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2212,18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466,51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21,1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2031,42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511,42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25,2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44,9</w:t>
            </w:r>
          </w:p>
        </w:tc>
      </w:tr>
      <w:tr>
        <w:trPr>
          <w:trHeight w:val="551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3866,06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616,83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16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2768,83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705,53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25,5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88,7</w:t>
            </w:r>
          </w:p>
        </w:tc>
      </w:tr>
      <w:tr>
        <w:trPr>
          <w:trHeight w:val="35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2. Расходы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6108,24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910,34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14,9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4800,25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876,81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18,3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-33,5</w:t>
            </w:r>
          </w:p>
        </w:tc>
      </w:tr>
      <w:tr>
        <w:trPr>
          <w:trHeight w:val="92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3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-30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173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340,14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167,1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 состоянию </w:t>
      </w:r>
      <w:r>
        <w:rPr>
          <w:rFonts w:cs="Times New Roman" w:ascii="Times New Roman" w:hAnsi="Times New Roman"/>
          <w:sz w:val="26"/>
          <w:szCs w:val="26"/>
        </w:rPr>
        <w:t xml:space="preserve">на 1 апреля 2018 года в бюджет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Кяппесельгского сельского поселения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поступило всего доходов в сумме </w:t>
      </w:r>
      <w:r>
        <w:rPr>
          <w:rFonts w:cs="Times New Roman" w:ascii="Times New Roman" w:hAnsi="Times New Roman"/>
          <w:sz w:val="26"/>
          <w:szCs w:val="26"/>
          <w:highlight w:val="white"/>
        </w:rPr>
        <w:t>1 216,95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тыс. </w:t>
      </w:r>
      <w:r>
        <w:rPr>
          <w:rFonts w:cs="Times New Roman" w:ascii="Times New Roman" w:hAnsi="Times New Roman"/>
          <w:sz w:val="26"/>
          <w:szCs w:val="26"/>
        </w:rPr>
        <w:t xml:space="preserve">рублей или </w:t>
      </w:r>
      <w:r>
        <w:rPr>
          <w:rFonts w:cs="Times New Roman" w:ascii="Times New Roman" w:hAnsi="Times New Roman"/>
          <w:sz w:val="26"/>
          <w:szCs w:val="26"/>
        </w:rPr>
        <w:t>25,4</w:t>
      </w:r>
      <w:r>
        <w:rPr>
          <w:rFonts w:cs="Times New Roman" w:ascii="Times New Roman" w:hAnsi="Times New Roman"/>
          <w:sz w:val="26"/>
          <w:szCs w:val="26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 от утвержденных годовых назначений (</w:t>
      </w:r>
      <w:r>
        <w:rPr>
          <w:rFonts w:cs="Times New Roman" w:ascii="Times New Roman" w:hAnsi="Times New Roman"/>
          <w:sz w:val="26"/>
          <w:szCs w:val="26"/>
        </w:rPr>
        <w:t>4 800,25</w:t>
      </w:r>
      <w:r>
        <w:rPr>
          <w:rFonts w:cs="Times New Roman" w:ascii="Times New Roman" w:hAnsi="Times New Roman"/>
          <w:sz w:val="26"/>
          <w:szCs w:val="26"/>
        </w:rPr>
        <w:t xml:space="preserve"> тыс. рублей), в том числе: налоговые и неналоговые доходы в сумме </w:t>
      </w:r>
      <w:r>
        <w:rPr>
          <w:rFonts w:cs="Times New Roman" w:ascii="Times New Roman" w:hAnsi="Times New Roman"/>
          <w:sz w:val="26"/>
          <w:szCs w:val="26"/>
        </w:rPr>
        <w:t>511,42</w:t>
      </w:r>
      <w:r>
        <w:rPr>
          <w:rFonts w:cs="Times New Roman" w:ascii="Times New Roman" w:hAnsi="Times New Roman"/>
          <w:sz w:val="26"/>
          <w:szCs w:val="26"/>
        </w:rPr>
        <w:t xml:space="preserve"> тыс. рублей или </w:t>
      </w:r>
      <w:r>
        <w:rPr>
          <w:rFonts w:cs="Times New Roman" w:ascii="Times New Roman" w:hAnsi="Times New Roman"/>
          <w:sz w:val="26"/>
          <w:szCs w:val="26"/>
        </w:rPr>
        <w:t>25,2</w:t>
      </w:r>
      <w:r>
        <w:rPr>
          <w:rFonts w:cs="Times New Roman" w:ascii="Times New Roman" w:hAnsi="Times New Roman"/>
          <w:sz w:val="26"/>
          <w:szCs w:val="26"/>
        </w:rPr>
        <w:t xml:space="preserve"> процента от плановых назначений; безвозмездные поступления составили </w:t>
      </w:r>
      <w:r>
        <w:rPr>
          <w:rFonts w:cs="Times New Roman" w:ascii="Times New Roman" w:hAnsi="Times New Roman"/>
          <w:sz w:val="26"/>
          <w:szCs w:val="26"/>
        </w:rPr>
        <w:t>705,53</w:t>
      </w:r>
      <w:r>
        <w:rPr>
          <w:rFonts w:cs="Times New Roman" w:ascii="Times New Roman" w:hAnsi="Times New Roman"/>
          <w:sz w:val="26"/>
          <w:szCs w:val="26"/>
        </w:rPr>
        <w:t xml:space="preserve"> тыс. рублей или </w:t>
      </w:r>
      <w:r>
        <w:rPr>
          <w:rFonts w:cs="Times New Roman" w:ascii="Times New Roman" w:hAnsi="Times New Roman"/>
          <w:sz w:val="26"/>
          <w:szCs w:val="26"/>
        </w:rPr>
        <w:t>25,5</w:t>
      </w:r>
      <w:r>
        <w:rPr>
          <w:rFonts w:cs="Times New Roman" w:ascii="Times New Roman" w:hAnsi="Times New Roman"/>
          <w:sz w:val="26"/>
          <w:szCs w:val="26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 от плановых назначений.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целом доходов по сравнению с соответствующим периодом прошлого года получено больше н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а </w:t>
      </w:r>
      <w:r>
        <w:rPr>
          <w:rFonts w:cs="Times New Roman" w:ascii="Times New Roman" w:hAnsi="Times New Roman"/>
          <w:sz w:val="26"/>
          <w:szCs w:val="26"/>
          <w:highlight w:val="white"/>
        </w:rPr>
        <w:t>133,6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тыс.</w:t>
      </w:r>
      <w:r>
        <w:rPr>
          <w:rFonts w:cs="Times New Roman" w:ascii="Times New Roman" w:hAnsi="Times New Roman"/>
          <w:sz w:val="26"/>
          <w:szCs w:val="26"/>
        </w:rPr>
        <w:t xml:space="preserve"> рублей, в том числе за счет увеличения налоговых и   неналоговых   доходов   на  </w:t>
      </w:r>
      <w:r>
        <w:rPr>
          <w:rFonts w:cs="Times New Roman" w:ascii="Times New Roman" w:hAnsi="Times New Roman"/>
          <w:sz w:val="26"/>
          <w:szCs w:val="26"/>
        </w:rPr>
        <w:t>44,9</w:t>
      </w:r>
      <w:r>
        <w:rPr>
          <w:rFonts w:cs="Times New Roman" w:ascii="Times New Roman" w:hAnsi="Times New Roman"/>
          <w:sz w:val="26"/>
          <w:szCs w:val="26"/>
        </w:rPr>
        <w:t xml:space="preserve"> тыс. рублей безвозмездных  поступлений  на </w:t>
      </w:r>
      <w:r>
        <w:rPr>
          <w:rFonts w:cs="Times New Roman" w:ascii="Times New Roman" w:hAnsi="Times New Roman"/>
          <w:sz w:val="26"/>
          <w:szCs w:val="26"/>
        </w:rPr>
        <w:t>88,7</w:t>
      </w:r>
      <w:r>
        <w:rPr>
          <w:rFonts w:cs="Times New Roman" w:ascii="Times New Roman" w:hAnsi="Times New Roman"/>
          <w:sz w:val="26"/>
          <w:szCs w:val="26"/>
        </w:rPr>
        <w:t xml:space="preserve"> тыс.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В общей сумме поступивших доходов по состоянию на 01.04.2018 года налоговые и неналоговые доходы составляют – </w:t>
      </w:r>
      <w:r>
        <w:rPr>
          <w:rFonts w:cs="Times New Roman" w:ascii="Times New Roman" w:hAnsi="Times New Roman"/>
          <w:sz w:val="26"/>
          <w:szCs w:val="26"/>
          <w:lang w:eastAsia="ru-RU"/>
        </w:rPr>
        <w:t>42,0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  <w:lang w:eastAsia="ru-RU"/>
        </w:rPr>
        <w:t>а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, безвозмездные поступления – </w:t>
      </w:r>
      <w:r>
        <w:rPr>
          <w:rFonts w:cs="Times New Roman" w:ascii="Times New Roman" w:hAnsi="Times New Roman"/>
          <w:sz w:val="26"/>
          <w:szCs w:val="26"/>
          <w:lang w:eastAsia="ru-RU"/>
        </w:rPr>
        <w:t>58,0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  <w:lang w:eastAsia="ru-RU"/>
        </w:rPr>
        <w:t>ов</w:t>
      </w:r>
      <w:r>
        <w:rPr>
          <w:rFonts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Исполнение бюджета Кяппесельгского сельского поселения по доходам за 1 квартал 2018 года в сравнении с аналогичным периодом 2017 года приведено в Приложении № 1.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Анализ структуры налоговых и неналоговых доходов бюджета Кяппесельгского сельского поселения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за 1 квартал 2018 года </w:t>
      </w:r>
      <w:r>
        <w:rPr>
          <w:rFonts w:cs="Times New Roman" w:ascii="Times New Roman" w:hAnsi="Times New Roman"/>
          <w:sz w:val="26"/>
          <w:szCs w:val="26"/>
        </w:rPr>
        <w:t xml:space="preserve">по основным видам и группам налогов показал, что наибольший удельный вес в общем объеме поступивших доходов бюджета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приходится на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highlight w:val="white"/>
          <w:u w:val="none"/>
          <w:em w:val="none"/>
        </w:rPr>
        <w:t>налог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highlight w:val="white"/>
          <w:u w:val="none"/>
          <w:em w:val="none"/>
        </w:rPr>
        <w:t>и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highlight w:val="white"/>
          <w:u w:val="none"/>
          <w:em w:val="none"/>
        </w:rPr>
        <w:t xml:space="preserve"> на товары (работы, услуги) реализуемые на территории РФ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— </w:t>
      </w:r>
      <w:r>
        <w:rPr>
          <w:rFonts w:cs="Times New Roman" w:ascii="Times New Roman" w:hAnsi="Times New Roman"/>
          <w:sz w:val="26"/>
          <w:szCs w:val="26"/>
          <w:highlight w:val="white"/>
        </w:rPr>
        <w:t>26,8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  <w:highlight w:val="white"/>
        </w:rPr>
        <w:t>а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, или </w:t>
      </w:r>
      <w:r>
        <w:rPr>
          <w:rFonts w:cs="Times New Roman" w:ascii="Times New Roman" w:hAnsi="Times New Roman"/>
          <w:sz w:val="26"/>
          <w:szCs w:val="26"/>
          <w:highlight w:val="white"/>
        </w:rPr>
        <w:t>63,8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  <w:highlight w:val="white"/>
        </w:rPr>
        <w:t>а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в общем объеме налоговых и неналоговых доходов бюджета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сравнении с аналогичным периодом прошлого года установлено  увеличение налоговых и неналоговых доходов по налогу на имущество за 1 квартал 2018 года поступило  </w:t>
      </w:r>
      <w:r>
        <w:rPr>
          <w:rFonts w:cs="Times New Roman" w:ascii="Times New Roman" w:hAnsi="Times New Roman"/>
          <w:sz w:val="26"/>
          <w:szCs w:val="26"/>
        </w:rPr>
        <w:t>95,0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тыс. рублей, или </w:t>
      </w:r>
      <w:r>
        <w:rPr>
          <w:rFonts w:cs="Times New Roman" w:ascii="Times New Roman" w:hAnsi="Times New Roman"/>
          <w:sz w:val="26"/>
          <w:szCs w:val="26"/>
        </w:rPr>
        <w:t>22,3</w:t>
      </w:r>
      <w:r>
        <w:rPr>
          <w:rFonts w:cs="Times New Roman" w:ascii="Times New Roman" w:hAnsi="Times New Roman"/>
          <w:sz w:val="26"/>
          <w:szCs w:val="26"/>
        </w:rPr>
        <w:t xml:space="preserve"> процента от годовых плановых назначений, что на </w:t>
      </w:r>
      <w:r>
        <w:rPr>
          <w:rFonts w:cs="Times New Roman" w:ascii="Times New Roman" w:hAnsi="Times New Roman"/>
          <w:sz w:val="26"/>
          <w:szCs w:val="26"/>
        </w:rPr>
        <w:t>27,02</w:t>
      </w:r>
      <w:r>
        <w:rPr>
          <w:rFonts w:cs="Times New Roman" w:ascii="Times New Roman" w:hAnsi="Times New Roman"/>
          <w:sz w:val="26"/>
          <w:szCs w:val="26"/>
        </w:rPr>
        <w:t xml:space="preserve"> тыс. рублей больше, чем за аналогичный период прошлого года. </w:t>
      </w:r>
      <w:r>
        <w:rPr>
          <w:rFonts w:cs="Times New Roman" w:ascii="Times New Roman" w:hAnsi="Times New Roman"/>
          <w:sz w:val="26"/>
          <w:szCs w:val="26"/>
        </w:rPr>
        <w:t>У</w:t>
      </w:r>
      <w:r>
        <w:rPr>
          <w:rFonts w:cs="Times New Roman" w:ascii="Times New Roman" w:hAnsi="Times New Roman"/>
          <w:sz w:val="26"/>
          <w:szCs w:val="26"/>
        </w:rPr>
        <w:t xml:space="preserve">дельный вес в общем объеме поступивших доходов </w:t>
      </w:r>
      <w:r>
        <w:rPr>
          <w:rFonts w:cs="Times New Roman" w:ascii="Times New Roman" w:hAnsi="Times New Roman"/>
          <w:sz w:val="26"/>
          <w:szCs w:val="26"/>
        </w:rPr>
        <w:t>составил 7,8 процента.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Поступления доходов от использования имущества, находящегося в государственной и муниципальной собственности за 1 квартал текущего года составили </w:t>
      </w:r>
      <w:r>
        <w:rPr>
          <w:rFonts w:cs="Times New Roman" w:ascii="Times New Roman" w:hAnsi="Times New Roman"/>
          <w:sz w:val="26"/>
          <w:szCs w:val="26"/>
        </w:rPr>
        <w:t>36,09</w:t>
      </w:r>
      <w:r>
        <w:rPr>
          <w:rFonts w:cs="Times New Roman" w:ascii="Times New Roman" w:hAnsi="Times New Roman"/>
          <w:sz w:val="26"/>
          <w:szCs w:val="26"/>
        </w:rPr>
        <w:t xml:space="preserve"> тыс. рублей, что составляет </w:t>
      </w:r>
      <w:r>
        <w:rPr>
          <w:rFonts w:cs="Times New Roman" w:ascii="Times New Roman" w:hAnsi="Times New Roman"/>
          <w:sz w:val="26"/>
          <w:szCs w:val="26"/>
        </w:rPr>
        <w:t>3,0</w:t>
      </w:r>
      <w:r>
        <w:rPr>
          <w:rFonts w:cs="Times New Roman" w:ascii="Times New Roman" w:hAnsi="Times New Roman"/>
          <w:sz w:val="26"/>
          <w:szCs w:val="26"/>
        </w:rPr>
        <w:t xml:space="preserve"> процента в общем объеме доходов бюджета или </w:t>
      </w:r>
      <w:r>
        <w:rPr>
          <w:rFonts w:cs="Times New Roman" w:ascii="Times New Roman" w:hAnsi="Times New Roman"/>
          <w:sz w:val="26"/>
          <w:szCs w:val="26"/>
        </w:rPr>
        <w:t xml:space="preserve">24,8 </w:t>
      </w:r>
      <w:r>
        <w:rPr>
          <w:rFonts w:cs="Times New Roman" w:ascii="Times New Roman" w:hAnsi="Times New Roman"/>
          <w:sz w:val="26"/>
          <w:szCs w:val="26"/>
        </w:rPr>
        <w:t xml:space="preserve"> процента от плановых назначений. По сравнению с 1 кварталом 2017 года поступления увеличились на 5,88 тыс. рублей.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Налоги на доходы физических лиц </w:t>
      </w:r>
      <w:bookmarkStart w:id="2" w:name="__DdeLink__3118_805788400"/>
      <w:r>
        <w:rPr>
          <w:rFonts w:cs="Times New Roman" w:ascii="Times New Roman" w:hAnsi="Times New Roman"/>
          <w:sz w:val="26"/>
          <w:szCs w:val="26"/>
        </w:rPr>
        <w:t xml:space="preserve">составляют </w:t>
      </w:r>
      <w:r>
        <w:rPr>
          <w:rFonts w:cs="Times New Roman" w:ascii="Times New Roman" w:hAnsi="Times New Roman"/>
          <w:sz w:val="26"/>
          <w:szCs w:val="26"/>
        </w:rPr>
        <w:t>4,3</w:t>
      </w:r>
      <w:r>
        <w:rPr>
          <w:rFonts w:cs="Times New Roman" w:ascii="Times New Roman" w:hAnsi="Times New Roman"/>
          <w:sz w:val="26"/>
          <w:szCs w:val="26"/>
        </w:rPr>
        <w:t xml:space="preserve"> процента от общей суммы доходов бюджета, по сравнению с аналогичным периодом прошлого года, поступления также увеличились на </w:t>
      </w:r>
      <w:r>
        <w:rPr>
          <w:rFonts w:cs="Times New Roman" w:ascii="Times New Roman" w:hAnsi="Times New Roman"/>
          <w:sz w:val="26"/>
          <w:szCs w:val="26"/>
        </w:rPr>
        <w:t>4,77</w:t>
      </w:r>
      <w:r>
        <w:rPr>
          <w:rFonts w:cs="Times New Roman" w:ascii="Times New Roman" w:hAnsi="Times New Roman"/>
          <w:sz w:val="26"/>
          <w:szCs w:val="26"/>
        </w:rPr>
        <w:t xml:space="preserve"> тыс. рублей и составили </w:t>
      </w:r>
      <w:r>
        <w:rPr>
          <w:rFonts w:cs="Times New Roman" w:ascii="Times New Roman" w:hAnsi="Times New Roman"/>
          <w:sz w:val="26"/>
          <w:szCs w:val="26"/>
        </w:rPr>
        <w:t>52,33</w:t>
      </w:r>
      <w:r>
        <w:rPr>
          <w:rFonts w:cs="Times New Roman" w:ascii="Times New Roman" w:hAnsi="Times New Roman"/>
          <w:sz w:val="26"/>
          <w:szCs w:val="26"/>
        </w:rPr>
        <w:t xml:space="preserve"> тыс. рублей (2</w:t>
      </w:r>
      <w:r>
        <w:rPr>
          <w:rFonts w:cs="Times New Roman" w:ascii="Times New Roman" w:hAnsi="Times New Roman"/>
          <w:sz w:val="26"/>
          <w:szCs w:val="26"/>
        </w:rPr>
        <w:t>6</w:t>
      </w:r>
      <w:r>
        <w:rPr>
          <w:rFonts w:cs="Times New Roman" w:ascii="Times New Roman" w:hAnsi="Times New Roman"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процент</w:t>
      </w:r>
      <w:bookmarkEnd w:id="2"/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 от плановых назначений).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Д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оходы от оказания платных услуг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составили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1,47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тыс. рублей или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0,1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процент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а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от общей суммы доходов бюджета (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14,7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процент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а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от плановых назначений), по сравнению с аналогичным периодом прошлого года, поступления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снизились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на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0,84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 тыс. рублей.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 долю безвозмездных поступлений приходится </w:t>
      </w:r>
      <w:r>
        <w:rPr>
          <w:rFonts w:cs="Times New Roman" w:ascii="Times New Roman" w:hAnsi="Times New Roman"/>
          <w:sz w:val="26"/>
          <w:szCs w:val="26"/>
        </w:rPr>
        <w:t>58,0</w:t>
      </w:r>
      <w:r>
        <w:rPr>
          <w:rFonts w:cs="Times New Roman" w:ascii="Times New Roman" w:hAnsi="Times New Roman"/>
          <w:sz w:val="26"/>
          <w:szCs w:val="26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</w:rPr>
        <w:t>ов</w:t>
      </w:r>
      <w:r>
        <w:rPr>
          <w:rFonts w:cs="Times New Roman" w:ascii="Times New Roman" w:hAnsi="Times New Roman"/>
          <w:sz w:val="26"/>
          <w:szCs w:val="26"/>
        </w:rPr>
        <w:t xml:space="preserve"> в общем объеме доходов, поступивших в бюджет по состоянию на 1 апреля 2018 года, сумма поступлений составила </w:t>
      </w:r>
      <w:r>
        <w:rPr>
          <w:rFonts w:cs="Times New Roman" w:ascii="Times New Roman" w:hAnsi="Times New Roman"/>
          <w:sz w:val="26"/>
          <w:szCs w:val="26"/>
        </w:rPr>
        <w:t>705,53</w:t>
      </w:r>
      <w:r>
        <w:rPr>
          <w:rFonts w:cs="Times New Roman" w:ascii="Times New Roman" w:hAnsi="Times New Roman"/>
          <w:sz w:val="26"/>
          <w:szCs w:val="26"/>
        </w:rPr>
        <w:t xml:space="preserve"> тыс. рублей, в том числе за счет безвозмездных поступлений от других бюджетов бюджетной системы Российской Федерации в сумме </w:t>
      </w:r>
      <w:r>
        <w:rPr>
          <w:rFonts w:cs="Times New Roman" w:ascii="Times New Roman" w:hAnsi="Times New Roman"/>
          <w:sz w:val="26"/>
          <w:szCs w:val="26"/>
        </w:rPr>
        <w:t>705,53</w:t>
      </w:r>
      <w:r>
        <w:rPr>
          <w:rFonts w:cs="Times New Roman" w:ascii="Times New Roman" w:hAnsi="Times New Roman"/>
          <w:sz w:val="26"/>
          <w:szCs w:val="26"/>
        </w:rPr>
        <w:t xml:space="preserve"> тыс. рублей или </w:t>
      </w:r>
      <w:r>
        <w:rPr>
          <w:rFonts w:cs="Times New Roman" w:ascii="Times New Roman" w:hAnsi="Times New Roman"/>
          <w:sz w:val="26"/>
          <w:szCs w:val="26"/>
        </w:rPr>
        <w:t>25,5</w:t>
      </w:r>
      <w:r>
        <w:rPr>
          <w:rFonts w:cs="Times New Roman" w:ascii="Times New Roman" w:hAnsi="Times New Roman"/>
          <w:sz w:val="26"/>
          <w:szCs w:val="26"/>
        </w:rPr>
        <w:t xml:space="preserve"> процента от плановых назначений. Общий объем безвозмездных поступлений по сравнению с аналогичным периодом прошлого года </w:t>
      </w:r>
      <w:r>
        <w:rPr>
          <w:rFonts w:cs="Times New Roman" w:ascii="Times New Roman" w:hAnsi="Times New Roman"/>
          <w:sz w:val="26"/>
          <w:szCs w:val="26"/>
        </w:rPr>
        <w:t>увеличился</w:t>
      </w:r>
      <w:r>
        <w:rPr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cs="Times New Roman" w:ascii="Times New Roman" w:hAnsi="Times New Roman"/>
          <w:sz w:val="26"/>
          <w:szCs w:val="26"/>
        </w:rPr>
        <w:t xml:space="preserve">166,2 </w:t>
      </w:r>
      <w:r>
        <w:rPr>
          <w:rFonts w:cs="Times New Roman" w:ascii="Times New Roman" w:hAnsi="Times New Roman"/>
          <w:sz w:val="26"/>
          <w:szCs w:val="26"/>
        </w:rPr>
        <w:t>тыс.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Расходы бюджета Кяппесельгского сельского поселения по состоянию на 01.04.2018 года составили </w:t>
      </w:r>
      <w:r>
        <w:rPr>
          <w:rFonts w:cs="Times New Roman" w:ascii="Times New Roman" w:hAnsi="Times New Roman"/>
          <w:sz w:val="26"/>
          <w:szCs w:val="26"/>
        </w:rPr>
        <w:t>876,81</w:t>
      </w:r>
      <w:r>
        <w:rPr>
          <w:rFonts w:cs="Times New Roman" w:ascii="Times New Roman" w:hAnsi="Times New Roman"/>
          <w:sz w:val="26"/>
          <w:szCs w:val="26"/>
        </w:rPr>
        <w:t xml:space="preserve"> тыс. рублей или </w:t>
      </w:r>
      <w:r>
        <w:rPr>
          <w:rFonts w:cs="Times New Roman" w:ascii="Times New Roman" w:hAnsi="Times New Roman"/>
          <w:sz w:val="26"/>
          <w:szCs w:val="26"/>
        </w:rPr>
        <w:t>18,3</w:t>
      </w:r>
      <w:r>
        <w:rPr>
          <w:rFonts w:cs="Times New Roman" w:ascii="Times New Roman" w:hAnsi="Times New Roman"/>
          <w:sz w:val="26"/>
          <w:szCs w:val="26"/>
        </w:rPr>
        <w:t xml:space="preserve"> процента от утвержденных бюджетных назначений на 2018 год. По сравнению с исполнением бюджета за 1 квартал прошлого года в целом расходы Кяппесельгского сельского поселения </w:t>
      </w:r>
      <w:r>
        <w:rPr>
          <w:rFonts w:cs="Times New Roman" w:ascii="Times New Roman" w:hAnsi="Times New Roman"/>
          <w:sz w:val="26"/>
          <w:szCs w:val="26"/>
        </w:rPr>
        <w:t>снизились</w:t>
      </w:r>
      <w:r>
        <w:rPr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cs="Times New Roman" w:ascii="Times New Roman" w:hAnsi="Times New Roman"/>
          <w:sz w:val="26"/>
          <w:szCs w:val="26"/>
        </w:rPr>
        <w:t>33,53</w:t>
      </w:r>
      <w:r>
        <w:rPr>
          <w:rFonts w:cs="Times New Roman" w:ascii="Times New Roman" w:hAnsi="Times New Roman"/>
          <w:sz w:val="26"/>
          <w:szCs w:val="26"/>
        </w:rPr>
        <w:t xml:space="preserve"> тыс. рублей.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Анализ исполнения расходов за 1 квартал 2018года по разделам функциональной классификации  расходов приведен в следующей  таблице: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тысяч рублей</w:t>
      </w:r>
    </w:p>
    <w:tbl>
      <w:tblPr>
        <w:tblW w:w="946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3465"/>
        <w:gridCol w:w="840"/>
        <w:gridCol w:w="1073"/>
        <w:gridCol w:w="1012"/>
        <w:gridCol w:w="1053"/>
        <w:gridCol w:w="852"/>
        <w:gridCol w:w="1169"/>
      </w:tblGrid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Наименование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Исполнено на 01.04.2017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Удельный вес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Исполнено на 01.04.2018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Удельный вес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Отклонения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 xml:space="preserve">Общегосударственные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вопросы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356,77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231,25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125,52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11,54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11,54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381,56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353,82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27,74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7,24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7,24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Культура , кинематография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140,68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267,66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126,98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12,55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12,55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Расходы всего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910,34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876,81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33,53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17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данным анализом  наибольший удельный вес в структуре расходов за 1 квартал 2018 года занимают расходы на национальную экономику – </w:t>
      </w:r>
      <w:r>
        <w:rPr>
          <w:rFonts w:cs="Times New Roman" w:ascii="Times New Roman" w:hAnsi="Times New Roman"/>
          <w:sz w:val="26"/>
          <w:szCs w:val="26"/>
        </w:rPr>
        <w:t>40,4</w:t>
      </w:r>
      <w:r>
        <w:rPr>
          <w:rFonts w:cs="Times New Roman" w:ascii="Times New Roman" w:hAnsi="Times New Roman"/>
          <w:sz w:val="26"/>
          <w:szCs w:val="26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. В аналогичном периоде 2017 года наибольший удельный вес  занимали </w:t>
      </w:r>
      <w:r>
        <w:rPr>
          <w:rFonts w:cs="Times New Roman" w:ascii="Times New Roman" w:hAnsi="Times New Roman"/>
          <w:sz w:val="26"/>
          <w:szCs w:val="26"/>
        </w:rPr>
        <w:t xml:space="preserve">также </w:t>
      </w:r>
      <w:r>
        <w:rPr>
          <w:rFonts w:cs="Times New Roman" w:ascii="Times New Roman" w:hAnsi="Times New Roman"/>
          <w:sz w:val="26"/>
          <w:szCs w:val="26"/>
        </w:rPr>
        <w:t xml:space="preserve"> расходы на 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ациональную экономику</w:t>
      </w:r>
      <w:r>
        <w:rPr>
          <w:rFonts w:cs="Times New Roman" w:ascii="Times New Roman" w:hAnsi="Times New Roman"/>
          <w:sz w:val="26"/>
          <w:szCs w:val="26"/>
        </w:rPr>
        <w:t xml:space="preserve"> – </w:t>
      </w:r>
      <w:r>
        <w:rPr>
          <w:rFonts w:cs="Times New Roman" w:ascii="Times New Roman" w:hAnsi="Times New Roman"/>
          <w:sz w:val="26"/>
          <w:szCs w:val="26"/>
        </w:rPr>
        <w:t>41,9</w:t>
      </w:r>
      <w:r>
        <w:rPr>
          <w:rFonts w:cs="Times New Roman" w:ascii="Times New Roman" w:hAnsi="Times New Roman"/>
          <w:sz w:val="26"/>
          <w:szCs w:val="26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Общегосударственные расходы составили 2</w:t>
      </w:r>
      <w:r>
        <w:rPr>
          <w:rFonts w:cs="Times New Roman" w:ascii="Times New Roman" w:hAnsi="Times New Roman"/>
          <w:sz w:val="26"/>
          <w:szCs w:val="26"/>
        </w:rPr>
        <w:t>6,4</w:t>
      </w:r>
      <w:r>
        <w:rPr>
          <w:rFonts w:cs="Times New Roman" w:ascii="Times New Roman" w:hAnsi="Times New Roman"/>
          <w:sz w:val="26"/>
          <w:szCs w:val="26"/>
        </w:rPr>
        <w:t xml:space="preserve"> процента в общем объеме расходов за 1 квартал 2018года, расходы на 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ациональную оборону</w:t>
      </w:r>
      <w:r>
        <w:rPr>
          <w:rFonts w:cs="Times New Roman" w:ascii="Times New Roman" w:hAnsi="Times New Roman"/>
          <w:sz w:val="26"/>
          <w:szCs w:val="26"/>
        </w:rPr>
        <w:t xml:space="preserve"> – </w:t>
      </w:r>
      <w:r>
        <w:rPr>
          <w:rFonts w:cs="Times New Roman" w:ascii="Times New Roman" w:hAnsi="Times New Roman"/>
          <w:sz w:val="26"/>
          <w:szCs w:val="26"/>
        </w:rPr>
        <w:t>1,3</w:t>
      </w:r>
      <w:r>
        <w:rPr>
          <w:rFonts w:cs="Times New Roman" w:ascii="Times New Roman" w:hAnsi="Times New Roman"/>
          <w:sz w:val="26"/>
          <w:szCs w:val="26"/>
        </w:rPr>
        <w:t xml:space="preserve"> процента, на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культуру, кинематографию</w:t>
      </w:r>
      <w:r>
        <w:rPr>
          <w:rFonts w:cs="Times New Roman" w:ascii="Times New Roman" w:hAnsi="Times New Roman"/>
          <w:sz w:val="26"/>
          <w:szCs w:val="26"/>
        </w:rPr>
        <w:t xml:space="preserve"> — 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0,5 процента, на </w:t>
      </w:r>
      <w:r>
        <w:rPr>
          <w:rFonts w:cs="Times New Roman" w:ascii="Times New Roman" w:hAnsi="Times New Roman"/>
          <w:sz w:val="26"/>
          <w:szCs w:val="26"/>
        </w:rPr>
        <w:t>социальную политику</w:t>
      </w:r>
      <w:r>
        <w:rPr>
          <w:rFonts w:cs="Times New Roman" w:ascii="Times New Roman" w:hAnsi="Times New Roman"/>
          <w:sz w:val="26"/>
          <w:szCs w:val="26"/>
        </w:rPr>
        <w:t xml:space="preserve"> – </w:t>
      </w:r>
      <w:r>
        <w:rPr>
          <w:rFonts w:cs="Times New Roman" w:ascii="Times New Roman" w:hAnsi="Times New Roman"/>
          <w:sz w:val="26"/>
          <w:szCs w:val="26"/>
        </w:rPr>
        <w:t>1,4</w:t>
      </w:r>
      <w:r>
        <w:rPr>
          <w:rFonts w:cs="Times New Roman" w:ascii="Times New Roman" w:hAnsi="Times New Roman"/>
          <w:sz w:val="26"/>
          <w:szCs w:val="26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.   </w:t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Анализ исполнение бюджета Кяппесельгского сельского поселения по расходам за 1 квартал 2018 года по разделам, подразделам бюджетной классификации в сравнении с аналогичным периодом 2017 года, приведены в Приложение № 2. </w:t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При среднем уровне исполнения плановых назначений по расходам в размере </w:t>
      </w:r>
      <w:r>
        <w:rPr>
          <w:rFonts w:cs="Times New Roman" w:ascii="Times New Roman" w:hAnsi="Times New Roman"/>
          <w:sz w:val="26"/>
          <w:szCs w:val="26"/>
          <w:highlight w:val="white"/>
        </w:rPr>
        <w:t>18,3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  <w:highlight w:val="white"/>
        </w:rPr>
        <w:t>а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, уровень исполнения по разделам сложился от </w:t>
      </w:r>
      <w:r>
        <w:rPr>
          <w:rFonts w:cs="Times New Roman" w:ascii="Times New Roman" w:hAnsi="Times New Roman"/>
          <w:sz w:val="26"/>
          <w:szCs w:val="26"/>
          <w:highlight w:val="white"/>
        </w:rPr>
        <w:t>14,1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процента («</w:t>
      </w:r>
      <w:r>
        <w:rPr>
          <w:rFonts w:cs="Times New Roman" w:ascii="Times New Roman" w:hAnsi="Times New Roman"/>
          <w:sz w:val="26"/>
          <w:szCs w:val="26"/>
          <w:highlight w:val="white"/>
        </w:rPr>
        <w:t>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ациональн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ая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 xml:space="preserve"> оборон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а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») до </w:t>
      </w:r>
      <w:r>
        <w:rPr>
          <w:rFonts w:cs="Times New Roman" w:ascii="Times New Roman" w:hAnsi="Times New Roman"/>
          <w:sz w:val="26"/>
          <w:szCs w:val="26"/>
          <w:highlight w:val="white"/>
        </w:rPr>
        <w:t>28,4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процент</w:t>
      </w:r>
      <w:r>
        <w:rPr>
          <w:rFonts w:cs="Times New Roman" w:ascii="Times New Roman" w:hAnsi="Times New Roman"/>
          <w:sz w:val="26"/>
          <w:szCs w:val="26"/>
          <w:highlight w:val="white"/>
        </w:rPr>
        <w:t>а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(«</w:t>
      </w:r>
      <w:r>
        <w:rPr>
          <w:rFonts w:cs="Times New Roman" w:ascii="Times New Roman" w:hAnsi="Times New Roman"/>
          <w:sz w:val="26"/>
          <w:szCs w:val="26"/>
          <w:highlight w:val="white"/>
        </w:rPr>
        <w:t>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ациональн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ая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 xml:space="preserve"> экономик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а</w:t>
      </w:r>
      <w:r>
        <w:rPr>
          <w:rFonts w:cs="Times New Roman" w:ascii="Times New Roman" w:hAnsi="Times New Roman"/>
          <w:sz w:val="26"/>
          <w:szCs w:val="26"/>
          <w:highlight w:val="white"/>
        </w:rPr>
        <w:t>»).</w:t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При анализе исполнения бюджета по расходам в 1 квартале 2018 года в сравнении с аналогичным периодом прошлого года </w:t>
      </w:r>
      <w:r>
        <w:rPr>
          <w:rFonts w:cs="Times New Roman" w:ascii="Times New Roman" w:hAnsi="Times New Roman"/>
          <w:sz w:val="26"/>
          <w:szCs w:val="26"/>
          <w:highlight w:val="white"/>
        </w:rPr>
        <w:t>установлено: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</w:t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- </w:t>
      </w:r>
      <w:r>
        <w:rPr>
          <w:rFonts w:cs="Times New Roman" w:ascii="Times New Roman" w:hAnsi="Times New Roman"/>
          <w:sz w:val="26"/>
          <w:szCs w:val="26"/>
          <w:highlight w:val="white"/>
        </w:rPr>
        <w:t>н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аибольшее </w:t>
      </w:r>
      <w:r>
        <w:rPr>
          <w:rFonts w:cs="Times New Roman" w:ascii="Times New Roman" w:hAnsi="Times New Roman"/>
          <w:sz w:val="26"/>
          <w:szCs w:val="26"/>
          <w:highlight w:val="white"/>
        </w:rPr>
        <w:t>снижение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расходов в сравнении с аналогичным периодом прошлого года, сложилось по разделу «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Общегосударственные вопросы</w:t>
      </w:r>
      <w:r>
        <w:rPr>
          <w:rFonts w:cs="Times New Roman" w:ascii="Times New Roman" w:hAnsi="Times New Roman"/>
          <w:sz w:val="26"/>
          <w:szCs w:val="26"/>
          <w:highlight w:val="white"/>
        </w:rPr>
        <w:t>» подраздел «</w:t>
      </w:r>
      <w:r>
        <w:rPr>
          <w:rFonts w:cs="Times New Roman" w:ascii="Times New Roman" w:hAnsi="Times New Roman"/>
          <w:sz w:val="26"/>
          <w:szCs w:val="26"/>
          <w:highlight w:val="white"/>
        </w:rPr>
        <w:t>Функционирование высшего должностного лица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» на сумму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132,62 </w:t>
      </w:r>
      <w:r>
        <w:rPr>
          <w:rFonts w:cs="Times New Roman" w:ascii="Times New Roman" w:hAnsi="Times New Roman"/>
          <w:sz w:val="26"/>
          <w:szCs w:val="26"/>
          <w:highlight w:val="white"/>
        </w:rPr>
        <w:t>тыс. рублей;</w:t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- наибольшее увеличение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расходов сложилось по разделу «</w:t>
      </w:r>
      <w:r>
        <w:rPr>
          <w:rFonts w:cs="Times New Roman" w:ascii="Times New Roman" w:hAnsi="Times New Roman"/>
          <w:sz w:val="26"/>
          <w:szCs w:val="26"/>
          <w:highlight w:val="white"/>
        </w:rPr>
        <w:t>Культура и кинематография</w:t>
      </w:r>
      <w:r>
        <w:rPr>
          <w:rFonts w:cs="Times New Roman" w:ascii="Times New Roman" w:hAnsi="Times New Roman"/>
          <w:bCs/>
          <w:sz w:val="26"/>
          <w:szCs w:val="26"/>
          <w:highlight w:val="white"/>
        </w:rPr>
        <w:t xml:space="preserve">» подраздел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«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Культура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» </w:t>
      </w:r>
      <w:r>
        <w:rPr>
          <w:rFonts w:cs="Times New Roman" w:ascii="Times New Roman" w:hAnsi="Times New Roman"/>
          <w:bCs/>
          <w:sz w:val="26"/>
          <w:szCs w:val="26"/>
          <w:highlight w:val="white"/>
        </w:rPr>
        <w:t xml:space="preserve">на сумму </w:t>
      </w:r>
      <w:r>
        <w:rPr>
          <w:rFonts w:cs="Times New Roman" w:ascii="Times New Roman" w:hAnsi="Times New Roman"/>
          <w:bCs/>
          <w:sz w:val="26"/>
          <w:szCs w:val="26"/>
          <w:highlight w:val="white"/>
        </w:rPr>
        <w:t>126,98</w:t>
      </w:r>
      <w:r>
        <w:rPr>
          <w:rFonts w:cs="Times New Roman" w:ascii="Times New Roman" w:hAnsi="Times New Roman"/>
          <w:bCs/>
          <w:sz w:val="26"/>
          <w:szCs w:val="26"/>
          <w:highlight w:val="white"/>
        </w:rPr>
        <w:t xml:space="preserve"> тыс. рублей.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</w:t>
      </w:r>
    </w:p>
    <w:p>
      <w:pPr>
        <w:pStyle w:val="ListParagraph"/>
        <w:spacing w:lineRule="auto" w:line="276"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Главный распорядитель -  Администрация Кяппесельгского сельского поселения исполнила бюджет в анализируемом периоде ниже квартальных значений (25%).   </w:t>
      </w:r>
    </w:p>
    <w:p>
      <w:pPr>
        <w:pStyle w:val="ListParagraph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Исполнение бюджета Кяппесельгского сельского поселения за </w:t>
      </w:r>
      <w:r>
        <w:rPr>
          <w:rFonts w:cs="Times New Roman" w:ascii="Times New Roman" w:hAnsi="Times New Roman"/>
          <w:sz w:val="26"/>
          <w:szCs w:val="26"/>
          <w:highlight w:val="white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квартал 2018 года в разрезе сгруппированных по видам расходов представлено ниже: </w:t>
      </w:r>
    </w:p>
    <w:p>
      <w:pPr>
        <w:pStyle w:val="ListParagraph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ListParagraph"/>
        <w:spacing w:lineRule="auto" w:line="240" w:before="0" w:after="0"/>
        <w:ind w:left="0" w:right="0" w:firstLine="737"/>
        <w:contextualSpacing/>
        <w:jc w:val="right"/>
        <w:rPr>
          <w:rFonts w:ascii="Times New Roman" w:hAnsi="Times New Roman" w:cs="Times New Roman"/>
          <w:sz w:val="18"/>
          <w:szCs w:val="18"/>
          <w:highlight w:val="white"/>
        </w:rPr>
      </w:pPr>
      <w:r>
        <w:rPr>
          <w:rFonts w:cs="Times New Roman" w:ascii="Times New Roman" w:hAnsi="Times New Roman"/>
          <w:sz w:val="18"/>
          <w:szCs w:val="18"/>
          <w:highlight w:val="white"/>
        </w:rPr>
        <w:t>тыс. рублей</w:t>
      </w:r>
    </w:p>
    <w:tbl>
      <w:tblPr>
        <w:tblW w:w="9360" w:type="dxa"/>
        <w:jc w:val="left"/>
        <w:tblInd w:w="7" w:type="dxa"/>
        <w:tblBorders>
          <w:top w:val="single" w:sz="2" w:space="0" w:color="00000A"/>
          <w:left w:val="single" w:sz="2" w:space="0" w:color="00000A"/>
          <w:bottom w:val="single" w:sz="2" w:space="0" w:color="000001"/>
          <w:right w:val="single" w:sz="2" w:space="0" w:color="00000A"/>
          <w:insideH w:val="single" w:sz="2" w:space="0" w:color="000001"/>
          <w:insideV w:val="single" w:sz="2" w:space="0" w:color="00000A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892"/>
        <w:gridCol w:w="3355"/>
        <w:gridCol w:w="1122"/>
        <w:gridCol w:w="1069"/>
        <w:gridCol w:w="1082"/>
        <w:gridCol w:w="918"/>
        <w:gridCol w:w="921"/>
      </w:tblGrid>
      <w:tr>
        <w:trPr>
          <w:trHeight w:val="79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Группы видов расходов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Наименование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Утверждено на 01.04.2018г.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Доля в общих расходах (%)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Исполнение за 1 квартал 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Доля в общих расходах (%)</w:t>
            </w:r>
          </w:p>
        </w:tc>
        <w:tc>
          <w:tcPr>
            <w:tcW w:w="9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% исполнения</w:t>
            </w:r>
          </w:p>
        </w:tc>
      </w:tr>
      <w:tr>
        <w:trPr>
          <w:trHeight w:val="121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100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2437,06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50,8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376,20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9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15,4</w:t>
            </w:r>
          </w:p>
        </w:tc>
      </w:tr>
      <w:tr>
        <w:trPr>
          <w:trHeight w:val="596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200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2126,01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44,3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487,75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55,6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22,9</w:t>
            </w:r>
          </w:p>
        </w:tc>
      </w:tr>
      <w:tr>
        <w:trPr>
          <w:trHeight w:val="596" w:hRule="atLeast"/>
        </w:trPr>
        <w:tc>
          <w:tcPr>
            <w:tcW w:w="89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00</w:t>
            </w:r>
          </w:p>
        </w:tc>
        <w:tc>
          <w:tcPr>
            <w:tcW w:w="33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75,3</w:t>
            </w:r>
          </w:p>
        </w:tc>
        <w:tc>
          <w:tcPr>
            <w:tcW w:w="106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1,6</w:t>
            </w:r>
          </w:p>
        </w:tc>
        <w:tc>
          <w:tcPr>
            <w:tcW w:w="108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12,55</w:t>
            </w:r>
          </w:p>
        </w:tc>
        <w:tc>
          <w:tcPr>
            <w:tcW w:w="91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92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16,7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500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50,37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1,0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800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111,51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2,3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0,32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0,3</w:t>
            </w:r>
          </w:p>
        </w:tc>
      </w:tr>
      <w:tr>
        <w:trPr>
          <w:trHeight w:val="371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 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4800,25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876,81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18,27</w:t>
            </w:r>
          </w:p>
        </w:tc>
      </w:tr>
    </w:tbl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ListParagraph"/>
        <w:spacing w:lineRule="auto" w:line="276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Анализ данных показывает, что исполнение бюджета в анализируемом периоде в разрезе видов расходов, ниже квартальных значений (25%).  Наибольшую долю в общих расходах занимает з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акупка товаров, работ и услуг для муниципальных нужд 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55,6 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 xml:space="preserve"> процент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а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 итогам 1 квартала 2018 года бюджет Кяппесельгского сельского поселения исполнен с </w:t>
      </w:r>
      <w:r>
        <w:rPr>
          <w:rFonts w:cs="Times New Roman" w:ascii="Times New Roman" w:hAnsi="Times New Roman"/>
          <w:sz w:val="26"/>
          <w:szCs w:val="26"/>
        </w:rPr>
        <w:t>профицитом</w:t>
      </w:r>
      <w:r>
        <w:rPr>
          <w:rFonts w:cs="Times New Roman" w:ascii="Times New Roman" w:hAnsi="Times New Roman"/>
          <w:sz w:val="26"/>
          <w:szCs w:val="26"/>
        </w:rPr>
        <w:t xml:space="preserve"> в сумме  </w:t>
      </w:r>
      <w:r>
        <w:rPr>
          <w:rFonts w:cs="Times New Roman" w:ascii="Times New Roman" w:hAnsi="Times New Roman"/>
          <w:sz w:val="26"/>
          <w:szCs w:val="26"/>
        </w:rPr>
        <w:t>340,14</w:t>
      </w:r>
      <w:r>
        <w:rPr>
          <w:rFonts w:cs="Times New Roman" w:ascii="Times New Roman" w:hAnsi="Times New Roman"/>
          <w:sz w:val="26"/>
          <w:szCs w:val="26"/>
        </w:rPr>
        <w:t xml:space="preserve"> тыс. 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  <w:t>3. Анализ бухгалтерской отчетности.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Отчет об исполнении бюджета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Кяппесельгского сельского поселения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за 1 квартал 2018 года сформирован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Согласно Сведениям по дебиторской и кредиторской задолженности (ф.0503169) дебиторская задолженность на 01.04.2018 года по сравнению с данными на 01.01.2018 года, 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увеличилась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5,57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 и составила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584,52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рублей, просроченная дебиторская задолженность также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увеличилась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22,98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 и составила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455,94 тыс. рублей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. В сравнении с аналогичным периодом прошлого года дебиторская задолженность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возросла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33,6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%.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Кредиторская задолженность на 01.04.2018 года составила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387,69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рублей, на 01.01.2018 года задолженность составляла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124,65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 кредиторская задолженность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возросла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263,04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рублей. В сравнении с аналогичным периодом прошлого года кредиторская задолженность снизилась на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17,2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%.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0" w:right="0" w:hanging="397"/>
        <w:contextualSpacing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6"/>
          <w:szCs w:val="26"/>
          <w:u w:val="none"/>
          <w:lang w:eastAsia="ru-RU"/>
        </w:rPr>
        <w:tab/>
        <w:tab/>
        <w:tab/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В ходе анализа проверено соблюдение общих требований по составлению и формированию бюджетной отчетности, установленных вышеуказанной инструкцией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н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арушений не установлено.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При сверке показателей о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тчета за 1 квартал 2018 года (форма 0503117) с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показателями отчета по поступлениям и выбытию (форма 0503151), представленным Управлением Федерального казначейства по Республике Карелия, по состоянию на 01.04.2018 года, 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установлено </w:t>
      </w:r>
      <w:r>
        <w:rPr>
          <w:rFonts w:cs="Times New Roman" w:ascii="Times New Roman" w:hAnsi="Times New Roman"/>
          <w:sz w:val="26"/>
          <w:szCs w:val="26"/>
          <w:highlight w:val="white"/>
        </w:rPr>
        <w:t>расхожден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ие по специальным расходам  </w:t>
      </w:r>
      <w:r>
        <w:rPr>
          <w:rFonts w:cs="Times New Roman" w:ascii="Times New Roman" w:hAnsi="Times New Roman"/>
          <w:sz w:val="26"/>
          <w:szCs w:val="26"/>
          <w:highlight w:val="white"/>
        </w:rPr>
        <w:t>(код расхода по бюджетной классификации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010 0107 6600170080 880</w:t>
      </w:r>
      <w:r>
        <w:rPr>
          <w:rFonts w:cs="Times New Roman" w:ascii="Times New Roman" w:hAnsi="Times New Roman"/>
          <w:sz w:val="26"/>
          <w:szCs w:val="26"/>
          <w:highlight w:val="white"/>
        </w:rPr>
        <w:t>) на сумму 92,50 тыс. рублей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.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Данный факт не является нарушением так как, </w:t>
      </w:r>
      <w:r>
        <w:rPr>
          <w:rFonts w:cs="Times New Roman"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 данной подгруппе </w:t>
      </w:r>
      <w:r>
        <w:rPr>
          <w:rFonts w:ascii="Times New Roman" w:hAnsi="Times New Roman"/>
          <w:sz w:val="26"/>
          <w:szCs w:val="26"/>
        </w:rPr>
        <w:t>(880)</w:t>
      </w:r>
      <w:r>
        <w:rPr>
          <w:rFonts w:ascii="Times New Roman" w:hAnsi="Times New Roman"/>
          <w:sz w:val="26"/>
          <w:szCs w:val="26"/>
        </w:rPr>
        <w:t xml:space="preserve"> отражаются расходы бюджетов бюджетной системы Российской Федерации,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 </w:t>
      </w:r>
      <w:r>
        <w:rPr>
          <w:rFonts w:ascii="Times New Roman" w:hAnsi="Times New Roman"/>
          <w:sz w:val="26"/>
          <w:szCs w:val="26"/>
        </w:rPr>
        <w:t>(средства предназначены на проведение выборов)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Замечаний и недостатков, допущенных при формировании бюджетной отчетности, повлиявших на ее достоверность  не установлено.</w:t>
      </w:r>
    </w:p>
    <w:p>
      <w:pPr>
        <w:pStyle w:val="Standard"/>
        <w:spacing w:lineRule="auto" w:line="276"/>
        <w:ind w:left="0" w:right="0"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sz w:val="26"/>
          <w:szCs w:val="26"/>
        </w:rPr>
        <w:t>Выводы: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6"/>
          <w:szCs w:val="26"/>
        </w:rPr>
        <w:t xml:space="preserve">По результатам проверки отчёта об исполнении бюджета Кяппесельгского сельского поселения за 1 квартал 2018 года Контрольно-счётный орган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считает, что отчёт об исполнении бюджета Кяппесельгского сельского поселения в представленном виде является  достоверным</w:t>
      </w:r>
      <w:r>
        <w:rPr>
          <w:rStyle w:val="Style17"/>
          <w:rFonts w:ascii="Times New Roman" w:hAnsi="Times New Roman"/>
          <w:sz w:val="26"/>
          <w:szCs w:val="26"/>
        </w:rPr>
        <w:t>.</w:t>
      </w:r>
    </w:p>
    <w:p>
      <w:pPr>
        <w:pStyle w:val="Normal"/>
        <w:numPr>
          <w:ilvl w:val="0"/>
          <w:numId w:val="1"/>
        </w:numPr>
        <w:tabs>
          <w:tab w:val="left" w:pos="1140" w:leader="none"/>
        </w:tabs>
        <w:spacing w:lineRule="auto" w:line="276" w:before="0" w:after="0"/>
        <w:jc w:val="both"/>
        <w:rPr/>
      </w:pPr>
      <w:r>
        <w:rPr>
          <w:rStyle w:val="Style17"/>
          <w:rFonts w:ascii="Times New Roman" w:hAnsi="Times New Roman"/>
          <w:sz w:val="26"/>
          <w:szCs w:val="26"/>
        </w:rPr>
        <w:t>Представленный отчет соответствует нормам действующего законодательства.</w:t>
      </w:r>
    </w:p>
    <w:p>
      <w:pPr>
        <w:pStyle w:val="Normal"/>
        <w:widowControl w:val="false"/>
        <w:tabs>
          <w:tab w:val="left" w:pos="1140" w:leader="none"/>
        </w:tabs>
        <w:spacing w:lineRule="auto" w:line="276" w:before="0" w:after="0"/>
        <w:ind w:left="720" w:right="0" w:hanging="0"/>
        <w:jc w:val="both"/>
        <w:rPr>
          <w:rStyle w:val="Style17"/>
          <w:rFonts w:ascii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cs="Times New Roman" w:ascii="Times New Roman" w:hAnsi="Times New Roman"/>
          <w:sz w:val="26"/>
          <w:szCs w:val="26"/>
          <w:highlight w:val="yellow"/>
          <w:lang w:eastAsia="ru-RU"/>
        </w:rPr>
      </w:r>
    </w:p>
    <w:p>
      <w:pPr>
        <w:pStyle w:val="Normal"/>
        <w:tabs>
          <w:tab w:val="left" w:pos="630" w:leader="none"/>
        </w:tabs>
        <w:spacing w:lineRule="auto" w:line="276" w:before="0" w:after="4"/>
        <w:ind w:left="0" w:right="0" w:firstLine="57"/>
        <w:jc w:val="both"/>
        <w:rPr>
          <w:rStyle w:val="Style17"/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76"/>
        <w:ind w:left="0" w:right="0" w:firstLine="567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Предлагаемые представления и /или предписания: </w:t>
      </w:r>
      <w:r>
        <w:rPr>
          <w:rFonts w:cs="Times New Roman" w:ascii="Times New Roman" w:hAnsi="Times New Roman"/>
          <w:bCs/>
          <w:sz w:val="26"/>
          <w:szCs w:val="26"/>
        </w:rPr>
        <w:t>нет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ListParagraph"/>
        <w:spacing w:lineRule="auto" w:line="276" w:before="0" w:after="46"/>
        <w:ind w:left="0" w:right="0" w:firstLine="567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 xml:space="preserve">Направить Анализ отчета об исполнении бюджета </w:t>
      </w:r>
      <w:r>
        <w:rPr>
          <w:rFonts w:cs="Times New Roman" w:ascii="Times New Roman" w:hAnsi="Times New Roman"/>
          <w:iCs/>
          <w:sz w:val="26"/>
          <w:szCs w:val="26"/>
          <w:highlight w:val="white"/>
          <w:lang w:eastAsia="ru-RU"/>
        </w:rPr>
        <w:t>Кяппесельгского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за 1 квартал 2018года в адрес:</w:t>
      </w:r>
    </w:p>
    <w:p>
      <w:pPr>
        <w:pStyle w:val="Normal"/>
        <w:spacing w:lineRule="auto" w:line="276" w:before="0" w:after="46"/>
        <w:ind w:left="0" w:right="0" w:firstLine="680"/>
        <w:jc w:val="both"/>
        <w:rPr>
          <w:rFonts w:ascii="Times New Roman" w:hAnsi="Times New Roman" w:cs="Times New Roman"/>
          <w:sz w:val="26"/>
          <w:szCs w:val="26"/>
          <w:highlight w:val="white"/>
          <w:lang w:eastAsia="ru-RU"/>
        </w:rPr>
      </w:pP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</w:r>
    </w:p>
    <w:p>
      <w:pPr>
        <w:pStyle w:val="Normal"/>
        <w:spacing w:lineRule="auto" w:line="276" w:before="0" w:after="46"/>
        <w:ind w:left="0" w:right="0" w:firstLine="68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cs="Times New Roman" w:ascii="Times New Roman" w:hAnsi="Times New Roman"/>
          <w:iCs/>
          <w:sz w:val="26"/>
          <w:szCs w:val="26"/>
          <w:highlight w:val="white"/>
          <w:lang w:eastAsia="ru-RU"/>
        </w:rPr>
        <w:t>Кяппесельгского сельского поселения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.</w:t>
      </w:r>
    </w:p>
    <w:p>
      <w:pPr>
        <w:pStyle w:val="Normal"/>
        <w:spacing w:lineRule="auto" w:line="276"/>
        <w:ind w:left="0" w:righ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4"/>
        <w:ind w:left="0" w:right="14" w:hanging="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76" w:before="0" w:after="4"/>
        <w:ind w:left="0" w:right="14" w:hanging="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И.о. Председателя Контрольно-счетного органа</w:t>
      </w:r>
    </w:p>
    <w:p>
      <w:pPr>
        <w:pStyle w:val="Normal"/>
        <w:spacing w:lineRule="auto" w:line="276" w:before="0" w:after="4"/>
        <w:ind w:left="0"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bookmarkStart w:id="3" w:name="__DdeLink__505_4059367422"/>
      <w:r>
        <w:rPr>
          <w:rFonts w:cs="Times New Roman" w:ascii="Times New Roman" w:hAnsi="Times New Roman"/>
          <w:sz w:val="26"/>
          <w:szCs w:val="26"/>
          <w:highlight w:val="white"/>
        </w:rPr>
        <w:t xml:space="preserve"> </w:t>
      </w:r>
      <w:bookmarkEnd w:id="3"/>
      <w:r>
        <w:rPr>
          <w:rFonts w:cs="Times New Roman" w:ascii="Times New Roman" w:hAnsi="Times New Roman"/>
          <w:sz w:val="26"/>
          <w:szCs w:val="26"/>
          <w:highlight w:val="white"/>
        </w:rPr>
        <w:t xml:space="preserve">                                               И.В. Демидова                   </w:t>
      </w:r>
    </w:p>
    <w:p>
      <w:pPr>
        <w:pStyle w:val="Normal"/>
        <w:spacing w:lineRule="auto" w:line="276" w:before="0" w:after="4"/>
        <w:ind w:left="0" w:right="14" w:hanging="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76" w:before="0" w:after="4"/>
        <w:ind w:left="0" w:right="14" w:hanging="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851" w:header="1134" w:top="1460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5">
    <w:name w:val="Верхний колонтитул Знак"/>
    <w:basedOn w:val="DefaultParagraphFont"/>
    <w:qFormat/>
    <w:rPr>
      <w:rFonts w:cs="Times New Roman"/>
    </w:rPr>
  </w:style>
  <w:style w:type="character" w:styleId="Style16">
    <w:name w:val="Нижний колонтитул Знак"/>
    <w:basedOn w:val="DefaultParagraphFont"/>
    <w:qFormat/>
    <w:rPr>
      <w:rFonts w:cs="Times New Roman"/>
    </w:rPr>
  </w:style>
  <w:style w:type="character" w:styleId="Style17">
    <w:name w:val="Основной текст Знак"/>
    <w:qFormat/>
    <w:rPr>
      <w:sz w:val="23"/>
      <w:highlight w:val="white"/>
    </w:rPr>
  </w:style>
  <w:style w:type="character" w:styleId="ListLabel14">
    <w:name w:val="ListLabel 14"/>
    <w:qFormat/>
    <w:rPr>
      <w:sz w:val="28"/>
    </w:rPr>
  </w:style>
  <w:style w:type="character" w:styleId="Style18">
    <w:name w:val="Символ нумерации"/>
    <w:qFormat/>
    <w:rPr/>
  </w:style>
  <w:style w:type="character" w:styleId="BodyTextChar">
    <w:name w:val="Body Text Char"/>
    <w:basedOn w:val="DefaultParagraphFont"/>
    <w:qFormat/>
    <w:rPr>
      <w:rFonts w:cs="Times New Roman"/>
      <w:color w:val="00000A"/>
      <w:lang w:eastAsia="en-US"/>
    </w:rPr>
  </w:style>
  <w:style w:type="character" w:styleId="BalloonTextChar">
    <w:name w:val="Balloon Text Char"/>
    <w:basedOn w:val="DefaultParagraphFont"/>
    <w:qFormat/>
    <w:rPr>
      <w:rFonts w:ascii="Times New Roman" w:hAnsi="Times New Roman" w:cs="Times New Roman"/>
      <w:color w:val="00000A"/>
      <w:sz w:val="2"/>
      <w:lang w:eastAsia="en-US"/>
    </w:rPr>
  </w:style>
  <w:style w:type="character" w:styleId="HeaderChar">
    <w:name w:val="Header Char"/>
    <w:basedOn w:val="DefaultParagraphFont"/>
    <w:qFormat/>
    <w:rPr>
      <w:rFonts w:cs="Times New Roman"/>
      <w:color w:val="00000A"/>
      <w:lang w:eastAsia="en-US"/>
    </w:rPr>
  </w:style>
  <w:style w:type="character" w:styleId="FooterChar">
    <w:name w:val="Footer Char"/>
    <w:basedOn w:val="DefaultParagraphFont"/>
    <w:qFormat/>
    <w:rPr>
      <w:rFonts w:cs="Times New Roman"/>
      <w:color w:val="00000A"/>
      <w:lang w:eastAsia="en-US"/>
    </w:rPr>
  </w:style>
  <w:style w:type="character" w:styleId="SubtitleChar">
    <w:name w:val="Subtitle Char"/>
    <w:basedOn w:val="DefaultParagraphFont"/>
    <w:qFormat/>
    <w:rPr>
      <w:rFonts w:ascii="Cambria" w:hAnsi="Cambria" w:eastAsia="Times New Roman" w:cs="Cambria"/>
      <w:color w:val="00000A"/>
      <w:sz w:val="24"/>
      <w:szCs w:val="24"/>
      <w:lang w:eastAsia="en-US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/>
  </w:style>
  <w:style w:type="character" w:styleId="ListLabel17">
    <w:name w:val="ListLabel 17"/>
    <w:qFormat/>
    <w:rPr/>
  </w:style>
  <w:style w:type="character" w:styleId="ListLabel18">
    <w:name w:val="ListLabel 18"/>
    <w:qFormat/>
    <w:rPr/>
  </w:style>
  <w:style w:type="character" w:styleId="ListLabel19">
    <w:name w:val="ListLabel 19"/>
    <w:qFormat/>
    <w:rPr/>
  </w:style>
  <w:style w:type="character" w:styleId="ListLabel20">
    <w:name w:val="ListLabel 20"/>
    <w:qFormat/>
    <w:rPr/>
  </w:style>
  <w:style w:type="character" w:styleId="ListLabel21">
    <w:name w:val="ListLabel 21"/>
    <w:qFormat/>
    <w:rPr/>
  </w:style>
  <w:style w:type="character" w:styleId="ListLabel22">
    <w:name w:val="ListLabel 22"/>
    <w:qFormat/>
    <w:rPr/>
  </w:style>
  <w:style w:type="character" w:styleId="ListLabel23">
    <w:name w:val="ListLabel 23"/>
    <w:qFormat/>
    <w:rPr/>
  </w:style>
  <w:style w:type="character" w:styleId="ListLabel24">
    <w:name w:val="ListLabel 24"/>
    <w:qFormat/>
    <w:rPr/>
  </w:style>
  <w:style w:type="character" w:styleId="ListLabel25">
    <w:name w:val="ListLabel 25"/>
    <w:qFormat/>
    <w:rPr/>
  </w:style>
  <w:style w:type="character" w:styleId="ListLabel26">
    <w:name w:val="ListLabel 26"/>
    <w:qFormat/>
    <w:rPr/>
  </w:style>
  <w:style w:type="character" w:styleId="ListLabel27">
    <w:name w:val="ListLabel 27"/>
    <w:qFormat/>
    <w:rPr/>
  </w:style>
  <w:style w:type="character" w:styleId="ListLabel28">
    <w:name w:val="ListLabel 28"/>
    <w:qFormat/>
    <w:rPr/>
  </w:style>
  <w:style w:type="character" w:styleId="ListLabel29">
    <w:name w:val="ListLabel 29"/>
    <w:qFormat/>
    <w:rPr/>
  </w:style>
  <w:style w:type="character" w:styleId="ListLabel30">
    <w:name w:val="ListLabel 30"/>
    <w:qFormat/>
    <w:rPr/>
  </w:style>
  <w:style w:type="character" w:styleId="ListLabel31">
    <w:name w:val="ListLabel 31"/>
    <w:qFormat/>
    <w:rPr/>
  </w:style>
  <w:style w:type="character" w:styleId="ListLabel32">
    <w:name w:val="ListLabel 32"/>
    <w:qFormat/>
    <w:rPr/>
  </w:style>
  <w:style w:type="character" w:styleId="ListLabel33">
    <w:name w:val="ListLabel 33"/>
    <w:qFormat/>
    <w:rPr/>
  </w:style>
  <w:style w:type="character" w:styleId="ListLabel34">
    <w:name w:val="ListLabel 34"/>
    <w:qFormat/>
    <w:rPr/>
  </w:style>
  <w:style w:type="character" w:styleId="ListLabel35">
    <w:name w:val="ListLabel 35"/>
    <w:qFormat/>
    <w:rPr/>
  </w:style>
  <w:style w:type="character" w:styleId="ListLabel36">
    <w:name w:val="ListLabel 36"/>
    <w:qFormat/>
    <w:rPr/>
  </w:style>
  <w:style w:type="character" w:styleId="ListLabel37">
    <w:name w:val="ListLabel 37"/>
    <w:qFormat/>
    <w:rPr/>
  </w:style>
  <w:style w:type="character" w:styleId="ListLabel38">
    <w:name w:val="ListLabel 38"/>
    <w:qFormat/>
    <w:rPr/>
  </w:style>
  <w:style w:type="character" w:styleId="ListLabel39">
    <w:name w:val="ListLabel 39"/>
    <w:qFormat/>
    <w:rPr/>
  </w:style>
  <w:style w:type="character" w:styleId="ListLabel40">
    <w:name w:val="ListLabel 40"/>
    <w:qFormat/>
    <w:rPr/>
  </w:style>
  <w:style w:type="character" w:styleId="ListLabel41">
    <w:name w:val="ListLabel 41"/>
    <w:qFormat/>
    <w:rPr/>
  </w:style>
  <w:style w:type="character" w:styleId="BodyTextChar1">
    <w:name w:val="Body Text Char1"/>
    <w:basedOn w:val="DefaultParagraphFont"/>
    <w:qFormat/>
    <w:rPr>
      <w:color w:val="00000A"/>
      <w:lang w:eastAsia="en-US"/>
    </w:rPr>
  </w:style>
  <w:style w:type="character" w:styleId="BalloonTextChar1">
    <w:name w:val="Balloon Text Char1"/>
    <w:basedOn w:val="DefaultParagraphFont"/>
    <w:qFormat/>
    <w:rPr>
      <w:rFonts w:ascii="Times New Roman" w:hAnsi="Times New Roman"/>
      <w:color w:val="00000A"/>
      <w:sz w:val="2"/>
      <w:szCs w:val="2"/>
      <w:lang w:eastAsia="en-US"/>
    </w:rPr>
  </w:style>
  <w:style w:type="character" w:styleId="HeaderChar1">
    <w:name w:val="Header Char1"/>
    <w:basedOn w:val="DefaultParagraphFont"/>
    <w:qFormat/>
    <w:rPr>
      <w:color w:val="00000A"/>
      <w:lang w:eastAsia="en-US"/>
    </w:rPr>
  </w:style>
  <w:style w:type="character" w:styleId="FooterChar1">
    <w:name w:val="Footer Char1"/>
    <w:basedOn w:val="DefaultParagraphFont"/>
    <w:qFormat/>
    <w:rPr>
      <w:color w:val="00000A"/>
      <w:lang w:eastAsia="en-US"/>
    </w:rPr>
  </w:style>
  <w:style w:type="character" w:styleId="SubtitleChar1">
    <w:name w:val="Subtitle Char1"/>
    <w:basedOn w:val="DefaultParagraphFont"/>
    <w:qFormat/>
    <w:rPr>
      <w:rFonts w:ascii="Cambria" w:hAnsi="Cambria" w:eastAsia="Calibri" w:cs="Tahoma"/>
      <w:color w:val="00000A"/>
      <w:sz w:val="24"/>
      <w:szCs w:val="24"/>
      <w:lang w:eastAsia="en-US"/>
    </w:rPr>
  </w:style>
  <w:style w:type="character" w:styleId="ListLabel42">
    <w:name w:val="ListLabel 42"/>
    <w:qFormat/>
    <w:rPr>
      <w:rFonts w:cs="Times New Roman"/>
      <w:sz w:val="22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  <w:sz w:val="22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sz w:val="22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  <w:sz w:val="22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  <w:sz w:val="22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sz w:val="22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  <w:sz w:val="22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  <w:sz w:val="22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  <w:sz w:val="22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sz w:val="22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  <w:sz w:val="22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  <w:sz w:val="22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  <w:sz w:val="22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  <w:sz w:val="22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  <w:sz w:val="22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  <w:sz w:val="22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ListLabel195">
    <w:name w:val="ListLabel 195"/>
    <w:qFormat/>
    <w:rPr>
      <w:rFonts w:cs="Times New Roman"/>
      <w:sz w:val="22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  <w:sz w:val="22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  <w:sz w:val="22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  <w:sz w:val="22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  <w:sz w:val="22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  <w:sz w:val="22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  <w:sz w:val="22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  <w:sz w:val="22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  <w:sz w:val="22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  <w:sz w:val="22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  <w:sz w:val="22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  <w:sz w:val="22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  <w:sz w:val="22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  <w:sz w:val="22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qFormat/>
    <w:pPr>
      <w:ind w:left="220" w:right="0" w:hanging="220"/>
    </w:pPr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paragraph" w:styleId="Style25">
    <w:name w:val="Знак Знак Знак Знак Знак Знак Знак Знак Знак Знак"/>
    <w:basedOn w:val="Normal"/>
    <w:qFormat/>
    <w:pPr>
      <w:spacing w:lineRule="exact" w:line="24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>
    <w:name w:val="ConsPlusNormal"/>
    <w:qFormat/>
    <w:pPr>
      <w:widowControl/>
      <w:overflowPunct w:val="false"/>
      <w:bidi w:val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Calibri" w:cs="Tahoma"/>
      <w:color w:val="00000A"/>
      <w:kern w:val="0"/>
      <w:sz w:val="24"/>
      <w:szCs w:val="24"/>
      <w:lang w:val="ru-RU" w:eastAsia="zh-CN" w:bidi="ar-SA"/>
    </w:rPr>
  </w:style>
  <w:style w:type="paragraph" w:styleId="Style30">
    <w:name w:val="Subtitle"/>
    <w:basedOn w:val="Normal"/>
    <w:qFormat/>
    <w:pPr>
      <w:spacing w:lineRule="auto" w:line="240" w:before="0" w:after="240"/>
    </w:pPr>
    <w:rPr>
      <w:rFonts w:ascii="Cambria" w:hAnsi="Cambria" w:cs="Mangal"/>
      <w:color w:val="404040"/>
      <w:sz w:val="30"/>
      <w:szCs w:val="3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3029</TotalTime>
  <Application>LibreOffice/5.4.4.2$Windows_x86 LibreOffice_project/2524958677847fb3bb44820e40380acbe820f960</Application>
  <Pages>8</Pages>
  <Words>1949</Words>
  <Characters>13008</Characters>
  <CharactersWithSpaces>15049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2015-06-01T04:12:00Z</dcterms:created>
  <dc:creator>User</dc:creator>
  <dc:description/>
  <dc:language>ru-RU</dc:language>
  <cp:lastModifiedBy/>
  <cp:lastPrinted>2018-07-11T09:19:13Z</cp:lastPrinted>
  <dcterms:modified xsi:type="dcterms:W3CDTF">2018-07-12T12:54:58Z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