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horzAnchor="margin" w:tblpY="-576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2949"/>
        <w:gridCol w:w="706"/>
        <w:gridCol w:w="347"/>
        <w:gridCol w:w="440"/>
        <w:gridCol w:w="20"/>
        <w:gridCol w:w="268"/>
        <w:gridCol w:w="839"/>
        <w:gridCol w:w="201"/>
        <w:gridCol w:w="839"/>
        <w:gridCol w:w="839"/>
        <w:gridCol w:w="839"/>
        <w:gridCol w:w="2405"/>
      </w:tblGrid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>
            <w:bookmarkStart w:id="0" w:name="_GoBack"/>
            <w:bookmarkEnd w:id="0"/>
          </w:p>
        </w:tc>
        <w:tc>
          <w:tcPr>
            <w:tcW w:w="294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706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347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44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68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405" w:type="dxa"/>
            <w:shd w:val="clear" w:color="auto" w:fill="auto"/>
            <w:vAlign w:val="bottom"/>
          </w:tcPr>
          <w:p w:rsidR="00426D08" w:rsidRDefault="00426D08" w:rsidP="000067D8"/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773" w:type="dxa"/>
            <w:gridSpan w:val="13"/>
            <w:shd w:val="clear" w:color="auto" w:fill="auto"/>
            <w:vAlign w:val="bottom"/>
          </w:tcPr>
          <w:p w:rsidR="000067D8" w:rsidRPr="00F04014" w:rsidRDefault="000067D8" w:rsidP="000067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>Приложение №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 xml:space="preserve"> 7</w:t>
            </w:r>
          </w:p>
          <w:p w:rsidR="000067D8" w:rsidRPr="00F04014" w:rsidRDefault="000067D8" w:rsidP="000067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к Решению Совета </w:t>
            </w:r>
            <w:proofErr w:type="spellStart"/>
            <w:r w:rsidRPr="00F04014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  <w:p w:rsidR="000067D8" w:rsidRPr="00F04014" w:rsidRDefault="000067D8" w:rsidP="000067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«О бюджете </w:t>
            </w:r>
            <w:proofErr w:type="spellStart"/>
            <w:r w:rsidRPr="00F04014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 на 2023 год и </w:t>
            </w:r>
          </w:p>
          <w:p w:rsidR="000067D8" w:rsidRPr="00F04014" w:rsidRDefault="000067D8" w:rsidP="000067D8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F04014">
              <w:rPr>
                <w:rFonts w:ascii="Times New Roman" w:hAnsi="Times New Roman"/>
                <w:sz w:val="18"/>
                <w:szCs w:val="18"/>
              </w:rPr>
              <w:t xml:space="preserve"> на плановый период 2024 и 2025 годов»</w:t>
            </w:r>
          </w:p>
          <w:p w:rsidR="00426D08" w:rsidRDefault="000067D8" w:rsidP="000067D8">
            <w:pPr>
              <w:jc w:val="right"/>
            </w:pPr>
            <w:r w:rsidRPr="00F04014">
              <w:rPr>
                <w:rFonts w:ascii="Times New Roman" w:hAnsi="Times New Roman"/>
                <w:sz w:val="18"/>
                <w:szCs w:val="18"/>
              </w:rPr>
              <w:t>№ __  от декабря 2022 г</w:t>
            </w:r>
            <w:proofErr w:type="gramStart"/>
            <w:r w:rsidRPr="00F04014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949" w:type="dxa"/>
            <w:shd w:val="clear" w:color="auto" w:fill="auto"/>
            <w:vAlign w:val="bottom"/>
          </w:tcPr>
          <w:p w:rsidR="00426D08" w:rsidRDefault="00426D08" w:rsidP="000067D8">
            <w:pPr>
              <w:jc w:val="center"/>
            </w:pPr>
          </w:p>
        </w:tc>
        <w:tc>
          <w:tcPr>
            <w:tcW w:w="706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347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44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68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405" w:type="dxa"/>
            <w:shd w:val="clear" w:color="auto" w:fill="auto"/>
            <w:vAlign w:val="bottom"/>
          </w:tcPr>
          <w:p w:rsidR="00426D08" w:rsidRDefault="00426D08" w:rsidP="000067D8"/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10692" w:type="dxa"/>
            <w:gridSpan w:val="12"/>
            <w:vMerge w:val="restart"/>
            <w:shd w:val="clear" w:color="auto" w:fill="auto"/>
            <w:vAlign w:val="bottom"/>
          </w:tcPr>
          <w:p w:rsidR="00426D08" w:rsidRDefault="000067D8" w:rsidP="000067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2024 и 2025 годы</w:t>
            </w:r>
          </w:p>
          <w:p w:rsidR="00426D08" w:rsidRDefault="000067D8" w:rsidP="000067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10692" w:type="dxa"/>
            <w:gridSpan w:val="12"/>
            <w:vMerge/>
            <w:shd w:val="clear" w:color="auto" w:fill="auto"/>
            <w:vAlign w:val="bottom"/>
          </w:tcPr>
          <w:p w:rsidR="00426D08" w:rsidRDefault="000067D8" w:rsidP="000067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2024 и 2025 годы</w:t>
            </w:r>
          </w:p>
          <w:p w:rsidR="00426D08" w:rsidRDefault="000067D8" w:rsidP="000067D8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94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706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347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44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68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405" w:type="dxa"/>
            <w:shd w:val="clear" w:color="auto" w:fill="auto"/>
            <w:vAlign w:val="bottom"/>
          </w:tcPr>
          <w:p w:rsidR="00426D08" w:rsidRDefault="00426D08" w:rsidP="000067D8"/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94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706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347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44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68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01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839" w:type="dxa"/>
            <w:shd w:val="clear" w:color="auto" w:fill="auto"/>
            <w:vAlign w:val="bottom"/>
          </w:tcPr>
          <w:p w:rsidR="00426D08" w:rsidRDefault="00426D08" w:rsidP="000067D8"/>
        </w:tc>
        <w:tc>
          <w:tcPr>
            <w:tcW w:w="2405" w:type="dxa"/>
            <w:shd w:val="clear" w:color="auto" w:fill="auto"/>
            <w:vAlign w:val="bottom"/>
          </w:tcPr>
          <w:p w:rsidR="00426D08" w:rsidRDefault="00426D08" w:rsidP="000067D8"/>
        </w:tc>
      </w:tr>
    </w:tbl>
    <w:tbl>
      <w:tblPr>
        <w:tblStyle w:val="TableStyle1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9"/>
        <w:gridCol w:w="4786"/>
        <w:gridCol w:w="655"/>
        <w:gridCol w:w="402"/>
        <w:gridCol w:w="389"/>
        <w:gridCol w:w="1213"/>
        <w:gridCol w:w="655"/>
        <w:gridCol w:w="1305"/>
        <w:gridCol w:w="1305"/>
      </w:tblGrid>
      <w:tr w:rsidR="00426D0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2940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  <w:trHeight w:val="184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426D08" w:rsidRDefault="000067D8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2940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426D08" w:rsidTr="000067D8">
        <w:tblPrEx>
          <w:tblCellMar>
            <w:top w:w="0" w:type="dxa"/>
            <w:bottom w:w="0" w:type="dxa"/>
          </w:tblCellMar>
        </w:tblPrEx>
        <w:trPr>
          <w:cantSplit/>
          <w:trHeight w:val="1825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426D08" w:rsidRDefault="000067D8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Default="000067D8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426D08" w:rsidRPr="000067D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 xml:space="preserve">Администрация </w:t>
            </w:r>
            <w:proofErr w:type="spellStart"/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b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426D08">
            <w:pPr>
              <w:wordWrap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426D08">
            <w:pPr>
              <w:wordWrap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426D08">
            <w:pPr>
              <w:wordWrap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426D08">
            <w:pPr>
              <w:wordWrap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134 065 547,40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114 453 815,46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4 472 900,55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4 672 900,71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Непрограммные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3 900 000,00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4 100 000,00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3 900 000,00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4 100 000,00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муниципального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3 900 000,00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4 100 000,00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3 900 000,00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3 900 000,00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570 900,55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570 900,71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570 900,55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570 900,71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570 900,55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570 900,71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556 275,55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556 275,71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556 275,55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556 275,71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14 625,00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14 625,00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14 625,00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14 625,00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 xml:space="preserve">НАЦИОНАЛЬНАЯ БЕЗОПАСНОСТЬ И ПРАВООХРАНИТЕЛЬНАЯ </w:t>
            </w: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1 315 190,48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1 216 038,10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500 000,00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Непрограммные направления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 xml:space="preserve">Другие вопросы в области национальной </w:t>
            </w: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815 190,48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716 038,10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815 190,48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716 038,10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 по обеспечению первичных мер пожарной безопасности в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границах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721 190,48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622 038,10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721 190,48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622 038,10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Иные закупки товаров, работ и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721 190,48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622 038,10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94 000,00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94 000,00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94 000,00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94 000,00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94 000,00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94 000,00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42 406 593,33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42 003 260,00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42 003 260,00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42 003 260,00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42 003 260,00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42 003 260,00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37 001 940,00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403 333,33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403 333,33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403 333,33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Закупка товаров, работ и услуг для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403 333,33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5500470410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403 333,33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44 808 896,01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34 256 440,94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12 917 770,69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13 062 383,64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12 917 770,69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13 062 383,64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726 360,00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726 360,00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726 360,00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уплату взносов на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5 382 383,64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5 382 383,64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5 382 383,64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5 382 383,64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Иные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5 382 383,64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5 382 383,64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Приобретение благоустроенного жилого помещения в целях исполнения судебного решения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6 809 027,05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Капитальные вложения в объекты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6 809 027,05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5500590500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6 809 027,05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Приобретение жилых помещений, находящихся на территории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7 680 000,00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7 680 000,00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Бюджетные инвестиции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5500590510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7 680 000,00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31 891 125,32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21 194 057,30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31 891 125,32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21 194 057,30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17 358 058,59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18 019 774,62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Закупка товаров, работ и услуг для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15 658 058,59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16 319 774,62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15 658 058,59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16 319 774,62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1 700 000,00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1 700 000,00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1 700 000,00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753 340,00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753 340,00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753 340,00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753 340,00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753 340,00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753 340,00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1 883 137,91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2 420 942,68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Закупка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1 883 137,91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2 420 942,68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1 883 137,91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2 420 942,68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Реализация мероприятий по формированию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 xml:space="preserve">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11 896 588,82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11 896 588,82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11 896 588,82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15 608 146,03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15 608 146,03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15 608 146,03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15 608 146,03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«Культура в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Кондопожском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Кондопожском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15 608 146,03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Расходы на выплаты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10 601 909,37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10 601 909,37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Расходы на выплаты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10 601 909,37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10 601 909,37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4 128 285,66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4 128 285,66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Иные закупки товаров, работ и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4 128 285,66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4 128 285,66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877 951,00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877 951,00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877 951,00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877 951,00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Пенсионное 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Доплаты к трудовой пенсии лицам, замещавшим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>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1 119 027,00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1 119 027,00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24 332 474,00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20 578 204,00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24 332 474,00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20 578 204,00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20 332 474,00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20 578 204,00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Основное </w:t>
            </w: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Кондопожском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20 332 474,00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20 578 204,00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20 332 474,00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20 578 204,00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10 999 216,72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11 244 946,72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10 999 216,72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11 244 946,72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8 707 696,28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8 707 696,28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8 707 696,28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8 707 696,28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625 561,00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625 561,00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625 561,00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625 561,00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Мероприятия, направленные на разработку проектно-сметной документации муниципальных учреждений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5501171100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4 000 000,00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5501171100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5501171100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4 000 000,00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 w:rsidRPr="000067D8">
              <w:rPr>
                <w:rFonts w:ascii="Times New Roman" w:hAnsi="Times New Roman"/>
                <w:sz w:val="18"/>
                <w:szCs w:val="18"/>
              </w:rPr>
              <w:t>Кондопожского</w:t>
            </w:r>
            <w:proofErr w:type="spellEnd"/>
            <w:r w:rsidRPr="000067D8">
              <w:rPr>
                <w:rFonts w:ascii="Times New Roman" w:hAnsi="Times New Roman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426D08" w:rsidRPr="000067D8" w:rsidRDefault="000067D8">
            <w:pPr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730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2 320,00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wordWrap w:val="0"/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i/>
                <w:sz w:val="18"/>
                <w:szCs w:val="18"/>
              </w:rPr>
              <w:t>1 118,68</w:t>
            </w:r>
          </w:p>
        </w:tc>
      </w:tr>
      <w:tr w:rsidR="00426D0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426D08" w:rsidRDefault="00426D08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center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134 065 547,40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426D08" w:rsidRPr="000067D8" w:rsidRDefault="000067D8">
            <w:pPr>
              <w:jc w:val="right"/>
              <w:rPr>
                <w:sz w:val="18"/>
                <w:szCs w:val="18"/>
              </w:rPr>
            </w:pPr>
            <w:r w:rsidRPr="000067D8">
              <w:rPr>
                <w:rFonts w:ascii="Times New Roman" w:hAnsi="Times New Roman"/>
                <w:b/>
                <w:sz w:val="18"/>
                <w:szCs w:val="18"/>
              </w:rPr>
              <w:t>114 453 815,46</w:t>
            </w:r>
          </w:p>
        </w:tc>
      </w:tr>
    </w:tbl>
    <w:p w:rsidR="00000000" w:rsidRDefault="000067D8"/>
    <w:sectPr w:rsidR="00000000" w:rsidSect="000067D8">
      <w:headerReference w:type="default" r:id="rId7"/>
      <w:headerReference w:type="first" r:id="rId8"/>
      <w:pgSz w:w="11907" w:h="16839"/>
      <w:pgMar w:top="1134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067D8">
      <w:pPr>
        <w:spacing w:after="0" w:line="240" w:lineRule="auto"/>
      </w:pPr>
      <w:r>
        <w:separator/>
      </w:r>
    </w:p>
  </w:endnote>
  <w:endnote w:type="continuationSeparator" w:id="0">
    <w:p w:rsidR="00000000" w:rsidRDefault="0000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067D8">
      <w:pPr>
        <w:spacing w:after="0" w:line="240" w:lineRule="auto"/>
      </w:pPr>
      <w:r>
        <w:separator/>
      </w:r>
    </w:p>
  </w:footnote>
  <w:footnote w:type="continuationSeparator" w:id="0">
    <w:p w:rsidR="00000000" w:rsidRDefault="00006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3785037"/>
      <w:docPartObj>
        <w:docPartGallery w:val="Page Numbers (Top of Page)"/>
      </w:docPartObj>
    </w:sdtPr>
    <w:sdtEndPr/>
    <w:sdtContent>
      <w:p w:rsidR="00426D08" w:rsidRDefault="000067D8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4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426D08" w:rsidRDefault="00426D0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256692"/>
      <w:docPartObj>
        <w:docPartGallery w:val="Page Numbers (Top of Page)"/>
      </w:docPartObj>
    </w:sdtPr>
    <w:sdtEndPr/>
    <w:sdtContent>
      <w:p w:rsidR="00426D08" w:rsidRDefault="000067D8"/>
    </w:sdtContent>
  </w:sdt>
  <w:p w:rsidR="00426D08" w:rsidRDefault="00426D0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6D08"/>
    <w:rsid w:val="000067D8"/>
    <w:rsid w:val="0042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2106</Words>
  <Characters>12010</Characters>
  <Application>Microsoft Office Word</Application>
  <DocSecurity>0</DocSecurity>
  <Lines>100</Lines>
  <Paragraphs>28</Paragraphs>
  <ScaleCrop>false</ScaleCrop>
  <Company/>
  <LinksUpToDate>false</LinksUpToDate>
  <CharactersWithSpaces>14088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2022-12-15T13:32:00Z</dcterms:created>
  <dcterms:modified xsi:type="dcterms:W3CDTF">2022-12-15T13:33:00Z</dcterms:modified>
</cp:coreProperties>
</file>